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C4C1C" w14:textId="77777777" w:rsidR="00360536" w:rsidRPr="00E452FE" w:rsidRDefault="00360536"/>
    <w:tbl>
      <w:tblPr>
        <w:tblW w:w="9263" w:type="dxa"/>
        <w:tblLayout w:type="fixed"/>
        <w:tblLook w:val="0000" w:firstRow="0" w:lastRow="0" w:firstColumn="0" w:lastColumn="0" w:noHBand="0" w:noVBand="0"/>
      </w:tblPr>
      <w:tblGrid>
        <w:gridCol w:w="2628"/>
        <w:gridCol w:w="2700"/>
        <w:gridCol w:w="1485"/>
        <w:gridCol w:w="2450"/>
      </w:tblGrid>
      <w:tr w:rsidR="00360536" w14:paraId="01127B02" w14:textId="77777777">
        <w:trPr>
          <w:cantSplit/>
          <w:trHeight w:val="1800"/>
        </w:trPr>
        <w:tc>
          <w:tcPr>
            <w:tcW w:w="9263" w:type="dxa"/>
            <w:gridSpan w:val="4"/>
          </w:tcPr>
          <w:p w14:paraId="4C5095CE" w14:textId="77777777" w:rsidR="00360536" w:rsidRDefault="001B08D5">
            <w:pPr>
              <w:pStyle w:val="Topptekst"/>
              <w:tabs>
                <w:tab w:val="clear" w:pos="4536"/>
                <w:tab w:val="clear" w:pos="9072"/>
              </w:tabs>
            </w:pPr>
            <w:bookmarkStart w:id="0" w:name="Mottaker" w:colFirst="0" w:colLast="0"/>
            <w:r>
              <w:t>Det kongelige Justis- og beredskapsdepartement</w:t>
            </w:r>
          </w:p>
          <w:p w14:paraId="4A8FCC30" w14:textId="77777777" w:rsidR="001B08D5" w:rsidRDefault="001B08D5" w:rsidP="001B08D5">
            <w:pPr>
              <w:pStyle w:val="Topptekst"/>
              <w:tabs>
                <w:tab w:val="clear" w:pos="4536"/>
                <w:tab w:val="clear" w:pos="9072"/>
              </w:tabs>
            </w:pPr>
            <w:r>
              <w:t>Postboks 8005 Dep</w:t>
            </w:r>
          </w:p>
          <w:p w14:paraId="09992ACD" w14:textId="77777777" w:rsidR="001B08D5" w:rsidRDefault="001B08D5" w:rsidP="001B08D5">
            <w:pPr>
              <w:pStyle w:val="Topptekst"/>
              <w:tabs>
                <w:tab w:val="clear" w:pos="4536"/>
                <w:tab w:val="clear" w:pos="9072"/>
              </w:tabs>
            </w:pPr>
            <w:r>
              <w:t>0030 Oslo</w:t>
            </w:r>
          </w:p>
          <w:p w14:paraId="540BBA63" w14:textId="77777777" w:rsidR="001B08D5" w:rsidRDefault="001B08D5" w:rsidP="001B08D5">
            <w:pPr>
              <w:pStyle w:val="Topptekst"/>
              <w:tabs>
                <w:tab w:val="clear" w:pos="4536"/>
                <w:tab w:val="clear" w:pos="9072"/>
              </w:tabs>
              <w:rPr>
                <w:rFonts w:ascii="DepCentury Old Style" w:hAnsi="DepCentury Old Style" w:cs="DepCentury Old Style"/>
                <w:color w:val="000000"/>
                <w:sz w:val="22"/>
                <w:szCs w:val="22"/>
              </w:rPr>
            </w:pPr>
          </w:p>
          <w:p w14:paraId="60FA3F7B" w14:textId="77777777" w:rsidR="001B08D5" w:rsidRDefault="001B08D5" w:rsidP="001B08D5">
            <w:pPr>
              <w:pStyle w:val="Topptekst"/>
              <w:tabs>
                <w:tab w:val="clear" w:pos="4536"/>
                <w:tab w:val="clear" w:pos="9072"/>
              </w:tabs>
            </w:pPr>
            <w:r w:rsidRPr="001B08D5">
              <w:rPr>
                <w:rFonts w:ascii="DepCentury Old Style" w:hAnsi="DepCentury Old Style" w:cs="DepCentury Old Style"/>
                <w:color w:val="000000"/>
                <w:sz w:val="22"/>
                <w:szCs w:val="22"/>
              </w:rPr>
              <w:t>postmottak@jd.dep.no</w:t>
            </w:r>
          </w:p>
          <w:p w14:paraId="7B623183" w14:textId="77777777" w:rsidR="00360536" w:rsidRDefault="00360536">
            <w:pPr>
              <w:pStyle w:val="Topptekst"/>
              <w:tabs>
                <w:tab w:val="clear" w:pos="4536"/>
                <w:tab w:val="clear" w:pos="9072"/>
              </w:tabs>
              <w:rPr>
                <w:lang w:val="de-DE"/>
              </w:rPr>
            </w:pPr>
          </w:p>
        </w:tc>
      </w:tr>
      <w:tr w:rsidR="00360536" w14:paraId="4C372CB2" w14:textId="77777777" w:rsidTr="001B08D5">
        <w:tc>
          <w:tcPr>
            <w:tcW w:w="2628" w:type="dxa"/>
          </w:tcPr>
          <w:p w14:paraId="3D05BE7D" w14:textId="77777777" w:rsidR="00360536" w:rsidRDefault="00360536">
            <w:pPr>
              <w:rPr>
                <w:i/>
                <w:sz w:val="20"/>
              </w:rPr>
            </w:pPr>
            <w:bookmarkStart w:id="1" w:name="DrefS"/>
            <w:bookmarkStart w:id="2" w:name="Gradering" w:colFirst="3" w:colLast="3"/>
            <w:bookmarkStart w:id="3" w:name="LedeTekst" w:colFirst="0" w:colLast="2"/>
            <w:bookmarkStart w:id="4" w:name="Dref" w:colFirst="0" w:colLast="0"/>
            <w:bookmarkStart w:id="5" w:name="Vref" w:colFirst="1" w:colLast="1"/>
            <w:bookmarkStart w:id="6" w:name="VDato" w:colFirst="2" w:colLast="2"/>
            <w:bookmarkEnd w:id="0"/>
            <w:bookmarkEnd w:id="1"/>
            <w:r>
              <w:rPr>
                <w:i/>
                <w:sz w:val="20"/>
              </w:rPr>
              <w:t>Deres referanse</w:t>
            </w:r>
          </w:p>
        </w:tc>
        <w:tc>
          <w:tcPr>
            <w:tcW w:w="2700" w:type="dxa"/>
          </w:tcPr>
          <w:p w14:paraId="2069952F" w14:textId="77777777" w:rsidR="00360536" w:rsidRDefault="00360536">
            <w:pPr>
              <w:rPr>
                <w:i/>
                <w:sz w:val="20"/>
              </w:rPr>
            </w:pPr>
            <w:bookmarkStart w:id="7" w:name="VrefS"/>
            <w:bookmarkEnd w:id="7"/>
            <w:r>
              <w:rPr>
                <w:i/>
                <w:sz w:val="20"/>
              </w:rPr>
              <w:t>Vår referanse</w:t>
            </w:r>
          </w:p>
        </w:tc>
        <w:tc>
          <w:tcPr>
            <w:tcW w:w="1485" w:type="dxa"/>
          </w:tcPr>
          <w:p w14:paraId="0D8CEDDD" w14:textId="77777777" w:rsidR="00360536" w:rsidRDefault="00360536">
            <w:pPr>
              <w:rPr>
                <w:i/>
                <w:sz w:val="20"/>
              </w:rPr>
            </w:pPr>
            <w:bookmarkStart w:id="8" w:name="VDatoS"/>
            <w:bookmarkEnd w:id="8"/>
          </w:p>
        </w:tc>
        <w:tc>
          <w:tcPr>
            <w:tcW w:w="2450" w:type="dxa"/>
          </w:tcPr>
          <w:p w14:paraId="728DFD31" w14:textId="77777777" w:rsidR="00360536" w:rsidRDefault="00360536">
            <w:pPr>
              <w:rPr>
                <w:i/>
                <w:sz w:val="20"/>
              </w:rPr>
            </w:pPr>
            <w:bookmarkStart w:id="9" w:name="GraderingS"/>
            <w:bookmarkEnd w:id="9"/>
            <w:r>
              <w:rPr>
                <w:i/>
                <w:sz w:val="20"/>
              </w:rPr>
              <w:t>Dato</w:t>
            </w:r>
          </w:p>
        </w:tc>
      </w:tr>
      <w:tr w:rsidR="00360536" w14:paraId="68B17210" w14:textId="77777777">
        <w:tc>
          <w:tcPr>
            <w:tcW w:w="262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13"/>
            </w:tblGrid>
            <w:tr w:rsidR="001B08D5" w:rsidRPr="001B08D5" w14:paraId="40693B4A" w14:textId="77777777" w:rsidTr="00057473">
              <w:trPr>
                <w:trHeight w:val="73"/>
              </w:trPr>
              <w:tc>
                <w:tcPr>
                  <w:tcW w:w="1313" w:type="dxa"/>
                </w:tcPr>
                <w:p w14:paraId="7BBA9814" w14:textId="77777777" w:rsidR="001B08D5" w:rsidRPr="001B08D5" w:rsidRDefault="001B08D5" w:rsidP="001B08D5">
                  <w:pPr>
                    <w:autoSpaceDE w:val="0"/>
                    <w:autoSpaceDN w:val="0"/>
                    <w:adjustRightInd w:val="0"/>
                    <w:rPr>
                      <w:rFonts w:ascii="DepCentury Old Style" w:hAnsi="DepCentury Old Style" w:cs="DepCentury Old Style"/>
                      <w:color w:val="000000"/>
                      <w:sz w:val="16"/>
                      <w:szCs w:val="16"/>
                      <w:lang w:eastAsia="nb-NO"/>
                    </w:rPr>
                  </w:pPr>
                  <w:bookmarkStart w:id="10" w:name="Deres_referanse" w:colFirst="0" w:colLast="0"/>
                  <w:bookmarkStart w:id="11" w:name="Vår_referanse" w:colFirst="1" w:colLast="1"/>
                  <w:bookmarkStart w:id="12" w:name="Vår_dato" w:colFirst="2" w:colLast="2"/>
                  <w:bookmarkStart w:id="13" w:name="Uoff" w:colFirst="3" w:colLast="3"/>
                  <w:bookmarkEnd w:id="2"/>
                  <w:bookmarkEnd w:id="3"/>
                  <w:bookmarkEnd w:id="4"/>
                  <w:bookmarkEnd w:id="5"/>
                  <w:bookmarkEnd w:id="6"/>
                  <w:r>
                    <w:rPr>
                      <w:rFonts w:ascii="DepCentury Old Style" w:hAnsi="DepCentury Old Style" w:cs="DepCentury Old Style"/>
                      <w:color w:val="000000"/>
                      <w:sz w:val="16"/>
                      <w:szCs w:val="16"/>
                      <w:lang w:eastAsia="nb-NO"/>
                    </w:rPr>
                    <w:t>1</w:t>
                  </w:r>
                  <w:r w:rsidRPr="001B08D5">
                    <w:rPr>
                      <w:rFonts w:ascii="DepCentury Old Style" w:hAnsi="DepCentury Old Style" w:cs="DepCentury Old Style"/>
                      <w:color w:val="000000"/>
                      <w:sz w:val="16"/>
                      <w:szCs w:val="16"/>
                      <w:lang w:eastAsia="nb-NO"/>
                    </w:rPr>
                    <w:t>7/3838 - TVA</w:t>
                  </w:r>
                </w:p>
              </w:tc>
            </w:tr>
          </w:tbl>
          <w:p w14:paraId="201461D2" w14:textId="77777777" w:rsidR="00360536" w:rsidRDefault="00360536">
            <w:pPr>
              <w:spacing w:after="80"/>
              <w:rPr>
                <w:sz w:val="20"/>
              </w:rPr>
            </w:pPr>
          </w:p>
        </w:tc>
        <w:tc>
          <w:tcPr>
            <w:tcW w:w="2700" w:type="dxa"/>
          </w:tcPr>
          <w:p w14:paraId="48F98A42" w14:textId="77777777" w:rsidR="00360536" w:rsidRDefault="001B08D5">
            <w:pPr>
              <w:spacing w:after="80"/>
              <w:rPr>
                <w:sz w:val="20"/>
              </w:rPr>
            </w:pPr>
            <w:r>
              <w:rPr>
                <w:sz w:val="20"/>
              </w:rPr>
              <w:t>2018014</w:t>
            </w:r>
          </w:p>
        </w:tc>
        <w:tc>
          <w:tcPr>
            <w:tcW w:w="1485" w:type="dxa"/>
          </w:tcPr>
          <w:p w14:paraId="2839DF11" w14:textId="77777777" w:rsidR="00360536" w:rsidRDefault="00360536">
            <w:pPr>
              <w:spacing w:after="80"/>
              <w:rPr>
                <w:sz w:val="20"/>
              </w:rPr>
            </w:pPr>
          </w:p>
        </w:tc>
        <w:tc>
          <w:tcPr>
            <w:tcW w:w="2450" w:type="dxa"/>
          </w:tcPr>
          <w:p w14:paraId="4F2F67E4" w14:textId="1E915F5D" w:rsidR="00360536" w:rsidRDefault="003F1169">
            <w:pPr>
              <w:spacing w:after="8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4A0E44">
              <w:rPr>
                <w:sz w:val="20"/>
              </w:rPr>
              <w:instrText xml:space="preserve"> DATE  \@ "dd.MM.yyyy"  \* MERGEFORMAT </w:instrText>
            </w:r>
            <w:r>
              <w:rPr>
                <w:sz w:val="20"/>
              </w:rPr>
              <w:fldChar w:fldCharType="separate"/>
            </w:r>
            <w:r w:rsidR="00236676">
              <w:rPr>
                <w:noProof/>
                <w:sz w:val="20"/>
              </w:rPr>
              <w:t>06.04.2018</w:t>
            </w:r>
            <w:r>
              <w:rPr>
                <w:sz w:val="20"/>
              </w:rPr>
              <w:fldChar w:fldCharType="end"/>
            </w:r>
          </w:p>
        </w:tc>
      </w:tr>
      <w:bookmarkEnd w:id="10"/>
      <w:bookmarkEnd w:id="11"/>
      <w:bookmarkEnd w:id="12"/>
      <w:bookmarkEnd w:id="13"/>
    </w:tbl>
    <w:p w14:paraId="7A71C0A7" w14:textId="77777777" w:rsidR="00360536" w:rsidRDefault="00360536" w:rsidP="001B08D5"/>
    <w:p w14:paraId="4D8705AA" w14:textId="77777777" w:rsidR="00E767E2" w:rsidRDefault="00E767E2" w:rsidP="001B08D5">
      <w:pPr>
        <w:rPr>
          <w:b/>
          <w:sz w:val="26"/>
          <w:szCs w:val="26"/>
        </w:rPr>
      </w:pPr>
    </w:p>
    <w:p w14:paraId="78F8B5A2" w14:textId="09B706A8" w:rsidR="001B08D5" w:rsidRDefault="001B08D5" w:rsidP="001B08D5">
      <w:pPr>
        <w:rPr>
          <w:b/>
          <w:sz w:val="26"/>
          <w:szCs w:val="26"/>
        </w:rPr>
      </w:pPr>
      <w:r w:rsidRPr="001B08D5">
        <w:rPr>
          <w:b/>
          <w:sz w:val="26"/>
          <w:szCs w:val="26"/>
        </w:rPr>
        <w:t>Høring av rappo</w:t>
      </w:r>
      <w:r>
        <w:rPr>
          <w:b/>
          <w:sz w:val="26"/>
          <w:szCs w:val="26"/>
        </w:rPr>
        <w:t xml:space="preserve">rt: </w:t>
      </w:r>
    </w:p>
    <w:p w14:paraId="785D0880" w14:textId="77777777" w:rsidR="00B7614F" w:rsidRPr="001B08D5" w:rsidRDefault="001B08D5" w:rsidP="001B08D5">
      <w:pPr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Pr="001B08D5">
        <w:rPr>
          <w:rFonts w:cs="DepCentury Old Style"/>
          <w:b/>
          <w:bCs/>
          <w:color w:val="000000"/>
          <w:sz w:val="26"/>
          <w:szCs w:val="26"/>
        </w:rPr>
        <w:t>apasitet- og kompetansebehovet i politiet de kommende ti-årene</w:t>
      </w:r>
    </w:p>
    <w:p w14:paraId="241C120F" w14:textId="77777777" w:rsidR="00B7614F" w:rsidRPr="00B7614F" w:rsidRDefault="00B7614F" w:rsidP="001B08D5"/>
    <w:p w14:paraId="63ED9127" w14:textId="4DE26B76" w:rsidR="00B7614F" w:rsidRDefault="00713470" w:rsidP="001B08D5">
      <w:r>
        <w:t>Det vises til høringsbrev av 15. februar 2018</w:t>
      </w:r>
      <w:r w:rsidR="00A52AE5">
        <w:t>.</w:t>
      </w:r>
      <w:r w:rsidR="00DD2938">
        <w:t xml:space="preserve"> Politiets medlemsgrupper i Parat </w:t>
      </w:r>
      <w:r w:rsidR="008E3485">
        <w:t xml:space="preserve">har med stor interesse lest rapporten og ønsker med dette å </w:t>
      </w:r>
      <w:r w:rsidR="00D56AEB">
        <w:t>komme med våre innspill og kommentarer.</w:t>
      </w:r>
    </w:p>
    <w:p w14:paraId="3A85EBB1" w14:textId="3EAFBA45" w:rsidR="00D56AEB" w:rsidRDefault="00D56AEB" w:rsidP="001B08D5"/>
    <w:p w14:paraId="305F9A72" w14:textId="42422580" w:rsidR="00A91236" w:rsidRDefault="00FC324D" w:rsidP="001B08D5">
      <w:r>
        <w:t xml:space="preserve">Innledningsvis vil </w:t>
      </w:r>
      <w:r w:rsidR="00DD2938">
        <w:t>vi</w:t>
      </w:r>
      <w:r w:rsidR="00C065C7">
        <w:t xml:space="preserve"> </w:t>
      </w:r>
      <w:r w:rsidR="00DB59E0">
        <w:t>g</w:t>
      </w:r>
      <w:r>
        <w:t xml:space="preserve">i honnør til </w:t>
      </w:r>
      <w:r w:rsidR="00AE2EDD">
        <w:t>Justis</w:t>
      </w:r>
      <w:r>
        <w:t>departementet og Pol</w:t>
      </w:r>
      <w:r w:rsidR="003E1EBD">
        <w:t>itidirektoratet for å ha tatt tak i dette viktige</w:t>
      </w:r>
      <w:r w:rsidR="005D1636">
        <w:t xml:space="preserve">, men vanskelige </w:t>
      </w:r>
      <w:r w:rsidR="003E1EBD">
        <w:t xml:space="preserve">utviklingsarbeidet. </w:t>
      </w:r>
      <w:r w:rsidR="00A91236">
        <w:t>Vi kan si oss enige i utvalgsleder Joakim Lystads uttalelse i forordet</w:t>
      </w:r>
      <w:r w:rsidR="008B5BE1">
        <w:t xml:space="preserve"> om at kulturen og kompetansen må rettes</w:t>
      </w:r>
      <w:r w:rsidR="007828B5">
        <w:t xml:space="preserve"> mot generell endringsvilje, endringslyst, strategisk endringsevne og åpenhet mot ny kompetanse. </w:t>
      </w:r>
    </w:p>
    <w:p w14:paraId="5BF8CEDF" w14:textId="77777777" w:rsidR="00A91236" w:rsidRDefault="00A91236" w:rsidP="001B08D5"/>
    <w:p w14:paraId="7689C227" w14:textId="1A607D73" w:rsidR="00D56AEB" w:rsidRDefault="00DB59E0" w:rsidP="001B08D5">
      <w:r>
        <w:t>Parat</w:t>
      </w:r>
      <w:r w:rsidR="000D7602">
        <w:t xml:space="preserve"> </w:t>
      </w:r>
      <w:r w:rsidR="00AB2599">
        <w:t>deler</w:t>
      </w:r>
      <w:r w:rsidR="00A74B39">
        <w:t xml:space="preserve"> rapportens beskrivelse av utviklingstrekk</w:t>
      </w:r>
      <w:r w:rsidR="00D3389B">
        <w:t xml:space="preserve"> som vil påvirke politiets oppgaveløsning og tjenester i fremtiden</w:t>
      </w:r>
      <w:r w:rsidR="008E635F">
        <w:t>. Endringene</w:t>
      </w:r>
      <w:r w:rsidR="00830717">
        <w:t xml:space="preserve"> </w:t>
      </w:r>
      <w:r w:rsidR="008E635F">
        <w:t>i befolkni</w:t>
      </w:r>
      <w:r w:rsidR="0038705F">
        <w:t>n</w:t>
      </w:r>
      <w:r w:rsidR="008E635F">
        <w:t>gssammensetningen, teknologiutviklingen og kriminalitets</w:t>
      </w:r>
      <w:r w:rsidR="00830717">
        <w:t xml:space="preserve">- </w:t>
      </w:r>
      <w:r w:rsidR="008E635F">
        <w:t>og trusselutviklingen</w:t>
      </w:r>
      <w:r w:rsidR="0038705F">
        <w:t xml:space="preserve"> utfordrer </w:t>
      </w:r>
      <w:r w:rsidR="0021081F">
        <w:t xml:space="preserve">politiets metoder og kompetanse. </w:t>
      </w:r>
      <w:r w:rsidR="00E5340D">
        <w:t>Vi støtter derfor rapporten</w:t>
      </w:r>
      <w:r w:rsidR="007D2E11">
        <w:t>s</w:t>
      </w:r>
      <w:r w:rsidR="00E5340D">
        <w:t xml:space="preserve"> hovedkonklusjon o</w:t>
      </w:r>
      <w:r w:rsidR="004518EA">
        <w:t xml:space="preserve">m at politiet </w:t>
      </w:r>
      <w:r w:rsidR="00830717">
        <w:t xml:space="preserve">både </w:t>
      </w:r>
      <w:r w:rsidR="004518EA">
        <w:t xml:space="preserve">trenger et større mangfold av kompetanse </w:t>
      </w:r>
      <w:r w:rsidR="007D2E11">
        <w:t>og</w:t>
      </w:r>
      <w:r w:rsidR="00830717">
        <w:t xml:space="preserve"> en økning av </w:t>
      </w:r>
      <w:r w:rsidR="00020F1E">
        <w:t>kapasi</w:t>
      </w:r>
      <w:r w:rsidR="00830717">
        <w:t xml:space="preserve">teten. </w:t>
      </w:r>
    </w:p>
    <w:p w14:paraId="26EFDD06" w14:textId="7ED27120" w:rsidR="00916256" w:rsidRDefault="00916256" w:rsidP="001B08D5"/>
    <w:p w14:paraId="4B856204" w14:textId="72BFDCDA" w:rsidR="0070270F" w:rsidRDefault="0070270F" w:rsidP="0070270F">
      <w:pPr>
        <w:rPr>
          <w:rFonts w:cstheme="minorHAnsi"/>
        </w:rPr>
      </w:pPr>
      <w:r>
        <w:rPr>
          <w:rFonts w:cstheme="minorHAnsi"/>
        </w:rPr>
        <w:t xml:space="preserve">Samtidig vil vi påpeke at </w:t>
      </w:r>
      <w:r w:rsidRPr="00D6796D">
        <w:rPr>
          <w:rFonts w:cstheme="minorHAnsi"/>
        </w:rPr>
        <w:t xml:space="preserve">rapporten </w:t>
      </w:r>
      <w:r>
        <w:rPr>
          <w:rFonts w:cstheme="minorHAnsi"/>
        </w:rPr>
        <w:t xml:space="preserve">har </w:t>
      </w:r>
      <w:r w:rsidRPr="00D6796D">
        <w:rPr>
          <w:rFonts w:cstheme="minorHAnsi"/>
        </w:rPr>
        <w:t xml:space="preserve">svakheter på flere områder. Det fremstår som om all ny kompetanse må hentes </w:t>
      </w:r>
      <w:r>
        <w:rPr>
          <w:rFonts w:cstheme="minorHAnsi"/>
        </w:rPr>
        <w:t xml:space="preserve">inn </w:t>
      </w:r>
      <w:r w:rsidRPr="00D6796D">
        <w:rPr>
          <w:rFonts w:cstheme="minorHAnsi"/>
        </w:rPr>
        <w:t>fra utsiden</w:t>
      </w:r>
      <w:r>
        <w:rPr>
          <w:rFonts w:cstheme="minorHAnsi"/>
        </w:rPr>
        <w:t xml:space="preserve"> av politiet</w:t>
      </w:r>
      <w:r w:rsidRPr="00D6796D">
        <w:rPr>
          <w:rFonts w:cstheme="minorHAnsi"/>
        </w:rPr>
        <w:t>. Det er ikke gjort forsøk på å analysere hvilken kompetanse som finnes i dag, og heller ikke gjort forsøk på å utrede hvilken kompetanse som kan tilføres dagens ansatte.</w:t>
      </w:r>
    </w:p>
    <w:p w14:paraId="4EE4C1A7" w14:textId="77777777" w:rsidR="0070270F" w:rsidRDefault="0070270F" w:rsidP="001B08D5">
      <w:pPr>
        <w:rPr>
          <w:rFonts w:cstheme="minorHAnsi"/>
        </w:rPr>
      </w:pPr>
    </w:p>
    <w:p w14:paraId="007ACB00" w14:textId="78B72048" w:rsidR="00916256" w:rsidRDefault="00607DEB" w:rsidP="001B08D5">
      <w:pPr>
        <w:rPr>
          <w:rFonts w:cstheme="minorHAnsi"/>
        </w:rPr>
      </w:pPr>
      <w:r>
        <w:rPr>
          <w:rFonts w:cstheme="minorHAnsi"/>
        </w:rPr>
        <w:t>P</w:t>
      </w:r>
      <w:r w:rsidR="00916256" w:rsidRPr="00D6796D">
        <w:rPr>
          <w:rFonts w:cstheme="minorHAnsi"/>
        </w:rPr>
        <w:t xml:space="preserve">olitiet har </w:t>
      </w:r>
      <w:r>
        <w:rPr>
          <w:rFonts w:cstheme="minorHAnsi"/>
        </w:rPr>
        <w:t xml:space="preserve">et åpenbart </w:t>
      </w:r>
      <w:r w:rsidR="00916256" w:rsidRPr="00D6796D">
        <w:rPr>
          <w:rFonts w:cstheme="minorHAnsi"/>
        </w:rPr>
        <w:t xml:space="preserve">behov for større kapasitet og flere typer kompetanse, både for å møte de utfordringene </w:t>
      </w:r>
      <w:r w:rsidR="001146EA">
        <w:rPr>
          <w:rFonts w:cstheme="minorHAnsi"/>
        </w:rPr>
        <w:t>vi</w:t>
      </w:r>
      <w:r w:rsidR="00916256" w:rsidRPr="00D6796D">
        <w:rPr>
          <w:rFonts w:cstheme="minorHAnsi"/>
        </w:rPr>
        <w:t xml:space="preserve"> har i dag og de </w:t>
      </w:r>
      <w:r w:rsidR="00947AAC">
        <w:rPr>
          <w:rFonts w:cstheme="minorHAnsi"/>
        </w:rPr>
        <w:t xml:space="preserve">økte forventinger </w:t>
      </w:r>
      <w:r w:rsidR="00916256" w:rsidRPr="00D6796D">
        <w:rPr>
          <w:rFonts w:cstheme="minorHAnsi"/>
        </w:rPr>
        <w:t>utredningen legger til grunn</w:t>
      </w:r>
      <w:r w:rsidR="00916256">
        <w:rPr>
          <w:rFonts w:cstheme="minorHAnsi"/>
        </w:rPr>
        <w:t xml:space="preserve">. </w:t>
      </w:r>
      <w:r w:rsidR="00916256" w:rsidRPr="00D6796D">
        <w:rPr>
          <w:rFonts w:cstheme="minorHAnsi"/>
        </w:rPr>
        <w:t>Samtidig trenger vi mer kunnskap om hvilken kompetanse vi allerede har i politiet og en vurdering av videreutdanningsmulighetene, både for sivil</w:t>
      </w:r>
      <w:r w:rsidR="0070270F">
        <w:rPr>
          <w:rFonts w:cstheme="minorHAnsi"/>
        </w:rPr>
        <w:t>e</w:t>
      </w:r>
      <w:r w:rsidR="00916256" w:rsidRPr="00D6796D">
        <w:rPr>
          <w:rFonts w:cstheme="minorHAnsi"/>
        </w:rPr>
        <w:t xml:space="preserve"> og politiansatte</w:t>
      </w:r>
      <w:r w:rsidR="00916256">
        <w:rPr>
          <w:rFonts w:cstheme="minorHAnsi"/>
        </w:rPr>
        <w:t>.</w:t>
      </w:r>
    </w:p>
    <w:p w14:paraId="0C2099C8" w14:textId="29E1CA2F" w:rsidR="00E65357" w:rsidRDefault="00E65357" w:rsidP="001B08D5"/>
    <w:p w14:paraId="4C127F13" w14:textId="2E760CB6" w:rsidR="00587702" w:rsidRPr="00041ACE" w:rsidRDefault="00C918F6" w:rsidP="00DB59E0">
      <w:r>
        <w:t>Parat</w:t>
      </w:r>
      <w:r w:rsidR="00587702">
        <w:t xml:space="preserve"> vil spesielt bemerke utvalgets omtale av f</w:t>
      </w:r>
      <w:r w:rsidR="00587702" w:rsidRPr="0022082E">
        <w:t>orebygging</w:t>
      </w:r>
      <w:r w:rsidR="00587702">
        <w:t xml:space="preserve"> som</w:t>
      </w:r>
      <w:r w:rsidR="00587702" w:rsidRPr="0022082E">
        <w:t xml:space="preserve"> et sentralt virkemiddel i politiets samfunnsoppdrag. </w:t>
      </w:r>
      <w:r w:rsidR="00587702">
        <w:t>Vi støtter selvfølgelig dette, men det</w:t>
      </w:r>
      <w:r w:rsidR="00587702" w:rsidRPr="009821A8">
        <w:t xml:space="preserve"> er viktig at man også på dette </w:t>
      </w:r>
      <w:r w:rsidR="00587702" w:rsidRPr="00041ACE">
        <w:t xml:space="preserve">fagområdet tenker bredt. </w:t>
      </w:r>
      <w:r w:rsidR="0073736D">
        <w:t>For eksempel kan</w:t>
      </w:r>
      <w:r w:rsidR="00587702" w:rsidRPr="00041ACE">
        <w:t xml:space="preserve"> politiet </w:t>
      </w:r>
      <w:r w:rsidR="00587702">
        <w:t xml:space="preserve">med fordel </w:t>
      </w:r>
      <w:r w:rsidR="0073736D">
        <w:t xml:space="preserve">kan </w:t>
      </w:r>
      <w:r w:rsidR="00587702" w:rsidRPr="00041ACE">
        <w:t>knytte</w:t>
      </w:r>
      <w:r w:rsidR="0073736D">
        <w:t xml:space="preserve"> til seg</w:t>
      </w:r>
      <w:r w:rsidR="00DB59E0">
        <w:t xml:space="preserve"> </w:t>
      </w:r>
      <w:r w:rsidR="00A238AC">
        <w:t xml:space="preserve">annen </w:t>
      </w:r>
      <w:r w:rsidR="00DB59E0">
        <w:t xml:space="preserve">faglig </w:t>
      </w:r>
      <w:r w:rsidR="00587702" w:rsidRPr="00041ACE">
        <w:t>kompetanse</w:t>
      </w:r>
      <w:r w:rsidR="00A238AC">
        <w:t xml:space="preserve"> fra sosial, helse og utdanning.  </w:t>
      </w:r>
    </w:p>
    <w:p w14:paraId="37FB2BC4" w14:textId="77777777" w:rsidR="00E812B9" w:rsidRDefault="00E812B9" w:rsidP="00782F25">
      <w:pPr>
        <w:rPr>
          <w:rFonts w:cstheme="minorHAnsi"/>
        </w:rPr>
      </w:pPr>
    </w:p>
    <w:p w14:paraId="0754ADC9" w14:textId="5EBC5E55" w:rsidR="004F6C5F" w:rsidRPr="004F6C5F" w:rsidRDefault="006E2EFD" w:rsidP="001B08D5">
      <w:pPr>
        <w:rPr>
          <w:rFonts w:cstheme="minorHAnsi"/>
          <w:b/>
        </w:rPr>
      </w:pPr>
      <w:r>
        <w:rPr>
          <w:rFonts w:cstheme="minorHAnsi"/>
          <w:b/>
        </w:rPr>
        <w:t xml:space="preserve">Økt kapasitet </w:t>
      </w:r>
    </w:p>
    <w:p w14:paraId="274159DD" w14:textId="6CC3653C" w:rsidR="006E2EFD" w:rsidRPr="00D6796D" w:rsidRDefault="00F74E20" w:rsidP="006E2EFD">
      <w:pPr>
        <w:rPr>
          <w:rFonts w:cstheme="minorHAnsi"/>
        </w:rPr>
      </w:pPr>
      <w:r>
        <w:rPr>
          <w:rFonts w:cstheme="minorHAnsi"/>
        </w:rPr>
        <w:t>Vi er enige med u</w:t>
      </w:r>
      <w:r w:rsidR="0048220F" w:rsidRPr="00D6796D">
        <w:rPr>
          <w:rFonts w:cstheme="minorHAnsi"/>
        </w:rPr>
        <w:t xml:space="preserve">tvalget </w:t>
      </w:r>
      <w:r>
        <w:rPr>
          <w:rFonts w:cstheme="minorHAnsi"/>
        </w:rPr>
        <w:t xml:space="preserve">i at </w:t>
      </w:r>
      <w:r w:rsidR="0048220F" w:rsidRPr="00D6796D">
        <w:rPr>
          <w:rFonts w:cstheme="minorHAnsi"/>
        </w:rPr>
        <w:t xml:space="preserve">politiets bemanning må følge befolkningsutvikling og helst øke. </w:t>
      </w:r>
      <w:r w:rsidR="00EF7313">
        <w:rPr>
          <w:rFonts w:cstheme="minorHAnsi"/>
        </w:rPr>
        <w:t xml:space="preserve">Det er derfor nødvendig med et bedre </w:t>
      </w:r>
      <w:r w:rsidR="0048220F" w:rsidRPr="00D6796D">
        <w:rPr>
          <w:rFonts w:cstheme="minorHAnsi"/>
        </w:rPr>
        <w:t>samspill mellom lønn- og driftsmidler og investeringer, spesielt innenfor teknologi og digitali</w:t>
      </w:r>
      <w:bookmarkStart w:id="14" w:name="_GoBack"/>
      <w:bookmarkEnd w:id="14"/>
      <w:r w:rsidR="0048220F" w:rsidRPr="00D6796D">
        <w:rPr>
          <w:rFonts w:cstheme="minorHAnsi"/>
        </w:rPr>
        <w:t>sering.</w:t>
      </w:r>
      <w:r w:rsidR="00E55E43">
        <w:rPr>
          <w:rFonts w:cstheme="minorHAnsi"/>
        </w:rPr>
        <w:t xml:space="preserve"> Dette er et svært </w:t>
      </w:r>
      <w:r w:rsidR="006E2EFD" w:rsidRPr="00D6796D">
        <w:rPr>
          <w:rFonts w:cstheme="minorHAnsi"/>
        </w:rPr>
        <w:t xml:space="preserve">sentralt punkt i styring og ledelse av politiet. Vi har i flere år tatt til orde for mindre politisk detaljstyring av politiet og økt handlingsrom for </w:t>
      </w:r>
      <w:r w:rsidR="006E2EFD" w:rsidRPr="00D6796D">
        <w:rPr>
          <w:rFonts w:cstheme="minorHAnsi"/>
        </w:rPr>
        <w:lastRenderedPageBreak/>
        <w:t xml:space="preserve">ledelse. Selv om </w:t>
      </w:r>
      <w:r w:rsidR="00AE34A6">
        <w:rPr>
          <w:rFonts w:cstheme="minorHAnsi"/>
        </w:rPr>
        <w:t>Parat</w:t>
      </w:r>
      <w:r w:rsidR="006E2EFD" w:rsidRPr="00D6796D">
        <w:rPr>
          <w:rFonts w:cstheme="minorHAnsi"/>
        </w:rPr>
        <w:t xml:space="preserve"> støtte</w:t>
      </w:r>
      <w:r w:rsidR="00AE34A6">
        <w:rPr>
          <w:rFonts w:cstheme="minorHAnsi"/>
        </w:rPr>
        <w:t>r</w:t>
      </w:r>
      <w:r w:rsidR="006E2EFD" w:rsidRPr="00D6796D">
        <w:rPr>
          <w:rFonts w:cstheme="minorHAnsi"/>
        </w:rPr>
        <w:t xml:space="preserve"> målsettingen om </w:t>
      </w:r>
      <w:r w:rsidR="00DD3C0C">
        <w:rPr>
          <w:rFonts w:cstheme="minorHAnsi"/>
        </w:rPr>
        <w:t>to</w:t>
      </w:r>
      <w:r w:rsidR="006E2EFD" w:rsidRPr="00D6796D">
        <w:rPr>
          <w:rFonts w:cstheme="minorHAnsi"/>
        </w:rPr>
        <w:t xml:space="preserve"> politi pr 1000 innbygger </w:t>
      </w:r>
      <w:r w:rsidR="00DD3C0C">
        <w:rPr>
          <w:rFonts w:cstheme="minorHAnsi"/>
        </w:rPr>
        <w:t>innen</w:t>
      </w:r>
      <w:r w:rsidR="006E2EFD" w:rsidRPr="00D6796D">
        <w:rPr>
          <w:rFonts w:cstheme="minorHAnsi"/>
        </w:rPr>
        <w:t xml:space="preserve"> 2020 ser vi at dette har ført til en svært krevende binding av budsjettene og begrenset politilederes </w:t>
      </w:r>
      <w:r w:rsidR="004E21F7">
        <w:rPr>
          <w:rFonts w:cstheme="minorHAnsi"/>
        </w:rPr>
        <w:t>mulighet</w:t>
      </w:r>
      <w:r w:rsidR="006E2EFD" w:rsidRPr="00D6796D">
        <w:rPr>
          <w:rFonts w:cstheme="minorHAnsi"/>
        </w:rPr>
        <w:t xml:space="preserve"> for prioriteringer. Skal vi lykkes med kompetanseløftet må politilederes handlingsrom økes</w:t>
      </w:r>
      <w:r w:rsidR="00E55E43">
        <w:rPr>
          <w:rFonts w:cstheme="minorHAnsi"/>
        </w:rPr>
        <w:t>.</w:t>
      </w:r>
    </w:p>
    <w:p w14:paraId="4CC84414" w14:textId="77777777" w:rsidR="006C7087" w:rsidRDefault="006C7087" w:rsidP="006E2EFD">
      <w:pPr>
        <w:rPr>
          <w:rFonts w:cstheme="minorHAnsi"/>
        </w:rPr>
      </w:pPr>
    </w:p>
    <w:p w14:paraId="68F62A2F" w14:textId="58C021D6" w:rsidR="00443EF9" w:rsidRDefault="004863B9" w:rsidP="006E2EFD">
      <w:pPr>
        <w:rPr>
          <w:rFonts w:cstheme="minorHAnsi"/>
        </w:rPr>
      </w:pPr>
      <w:r>
        <w:rPr>
          <w:rFonts w:cstheme="minorHAnsi"/>
        </w:rPr>
        <w:t>Vi støtter h</w:t>
      </w:r>
      <w:r w:rsidR="006E2EFD" w:rsidRPr="00D6796D">
        <w:rPr>
          <w:rFonts w:cstheme="minorHAnsi"/>
        </w:rPr>
        <w:t>ovedretningen i utvalgets forslag til økt kapasitet</w:t>
      </w:r>
      <w:r w:rsidR="004C0BED">
        <w:rPr>
          <w:rFonts w:cstheme="minorHAnsi"/>
        </w:rPr>
        <w:t>, men d</w:t>
      </w:r>
      <w:r w:rsidR="004525F3">
        <w:rPr>
          <w:rFonts w:cstheme="minorHAnsi"/>
        </w:rPr>
        <w:t xml:space="preserve">et er helt nødvendig </w:t>
      </w:r>
      <w:r w:rsidR="006E2EFD" w:rsidRPr="00D6796D">
        <w:rPr>
          <w:rFonts w:cstheme="minorHAnsi"/>
        </w:rPr>
        <w:t xml:space="preserve">å opprettholde </w:t>
      </w:r>
      <w:r w:rsidR="004F4A5F">
        <w:rPr>
          <w:rFonts w:cstheme="minorHAnsi"/>
        </w:rPr>
        <w:t>målet om to politiansatte pr 1000 innbygger</w:t>
      </w:r>
      <w:r w:rsidR="001C44FB">
        <w:rPr>
          <w:rFonts w:cstheme="minorHAnsi"/>
        </w:rPr>
        <w:t xml:space="preserve"> </w:t>
      </w:r>
      <w:r w:rsidR="00CF0E2B">
        <w:rPr>
          <w:rFonts w:cstheme="minorHAnsi"/>
        </w:rPr>
        <w:t>også etter 2020. En eventuell</w:t>
      </w:r>
      <w:r w:rsidR="006E2EFD" w:rsidRPr="00D6796D">
        <w:rPr>
          <w:rFonts w:cstheme="minorHAnsi"/>
        </w:rPr>
        <w:t xml:space="preserve"> reduksjon av opptaket på Politihøgskolens grunnutdanning fra 2019</w:t>
      </w:r>
      <w:r w:rsidR="00C1720A">
        <w:rPr>
          <w:rFonts w:cstheme="minorHAnsi"/>
        </w:rPr>
        <w:t xml:space="preserve"> må </w:t>
      </w:r>
      <w:r w:rsidR="00855912">
        <w:rPr>
          <w:rFonts w:cstheme="minorHAnsi"/>
        </w:rPr>
        <w:t xml:space="preserve">være gjenstand for en </w:t>
      </w:r>
      <w:r w:rsidR="009922BB">
        <w:rPr>
          <w:rFonts w:cstheme="minorHAnsi"/>
        </w:rPr>
        <w:t>grundig</w:t>
      </w:r>
      <w:r w:rsidR="00855912">
        <w:rPr>
          <w:rFonts w:cstheme="minorHAnsi"/>
        </w:rPr>
        <w:t xml:space="preserve"> utredning. </w:t>
      </w:r>
      <w:r w:rsidR="00C1720A">
        <w:rPr>
          <w:rFonts w:cstheme="minorHAnsi"/>
        </w:rPr>
        <w:t>Antall nye studenter på Politihøgskolen</w:t>
      </w:r>
      <w:r w:rsidR="00D27550">
        <w:rPr>
          <w:rFonts w:cstheme="minorHAnsi"/>
        </w:rPr>
        <w:t xml:space="preserve"> må ikke</w:t>
      </w:r>
      <w:r w:rsidR="00443EF9" w:rsidRPr="00D6796D">
        <w:rPr>
          <w:rFonts w:cstheme="minorHAnsi"/>
        </w:rPr>
        <w:t xml:space="preserve"> reduseres så mye at vi ikke klarer å opprettholde minst to politiansatte pr 1000 innbygger.</w:t>
      </w:r>
      <w:r w:rsidR="00CA13EA" w:rsidRPr="00CA13EA">
        <w:rPr>
          <w:rFonts w:cstheme="minorHAnsi"/>
        </w:rPr>
        <w:t xml:space="preserve"> </w:t>
      </w:r>
      <w:r w:rsidR="00D27550">
        <w:rPr>
          <w:rFonts w:cstheme="minorHAnsi"/>
        </w:rPr>
        <w:t xml:space="preserve">Samtidig </w:t>
      </w:r>
      <w:r w:rsidR="00B40483">
        <w:rPr>
          <w:rFonts w:cstheme="minorHAnsi"/>
        </w:rPr>
        <w:t>må det også tas hensyn til at a</w:t>
      </w:r>
      <w:r w:rsidR="00CA13EA" w:rsidRPr="00D6796D">
        <w:rPr>
          <w:rFonts w:cstheme="minorHAnsi"/>
        </w:rPr>
        <w:t xml:space="preserve">ntall studenter </w:t>
      </w:r>
      <w:r w:rsidR="00E450F5">
        <w:rPr>
          <w:rFonts w:cstheme="minorHAnsi"/>
        </w:rPr>
        <w:t xml:space="preserve">påvirker </w:t>
      </w:r>
      <w:r w:rsidR="00CA13EA" w:rsidRPr="00D6796D">
        <w:rPr>
          <w:rFonts w:cstheme="minorHAnsi"/>
        </w:rPr>
        <w:t>Politihøgskolens ressurser, tilbud og kvaliteten på utdanningene. Fremtidens opptak på Politihøgskolens grunnutdanning må derfor avgjøres på et bredere beslutningsgrunnlag</w:t>
      </w:r>
      <w:r w:rsidR="00E450F5">
        <w:rPr>
          <w:rFonts w:cstheme="minorHAnsi"/>
        </w:rPr>
        <w:t xml:space="preserve"> enn det rapporten har lagt til grunn.</w:t>
      </w:r>
    </w:p>
    <w:p w14:paraId="63147EF6" w14:textId="77777777" w:rsidR="00443EF9" w:rsidRDefault="00443EF9" w:rsidP="006E2EFD">
      <w:pPr>
        <w:rPr>
          <w:rFonts w:cstheme="minorHAnsi"/>
        </w:rPr>
      </w:pPr>
    </w:p>
    <w:p w14:paraId="1121478C" w14:textId="5DAE6FF7" w:rsidR="006E2EFD" w:rsidRDefault="00F06AEF" w:rsidP="006E2EFD">
      <w:pPr>
        <w:rPr>
          <w:rFonts w:cstheme="minorHAnsi"/>
        </w:rPr>
      </w:pPr>
      <w:r>
        <w:rPr>
          <w:rFonts w:cstheme="minorHAnsi"/>
        </w:rPr>
        <w:t xml:space="preserve">Forutsatt </w:t>
      </w:r>
      <w:r w:rsidR="009922BB">
        <w:rPr>
          <w:rFonts w:cstheme="minorHAnsi"/>
        </w:rPr>
        <w:t>to</w:t>
      </w:r>
      <w:r>
        <w:rPr>
          <w:rFonts w:cstheme="minorHAnsi"/>
        </w:rPr>
        <w:t xml:space="preserve"> politi</w:t>
      </w:r>
      <w:r w:rsidR="00DD3C0C">
        <w:rPr>
          <w:rFonts w:cstheme="minorHAnsi"/>
        </w:rPr>
        <w:t>ansatte</w:t>
      </w:r>
      <w:r w:rsidR="009E5BAF">
        <w:rPr>
          <w:rFonts w:cstheme="minorHAnsi"/>
        </w:rPr>
        <w:t xml:space="preserve"> pr 1000 innbygger</w:t>
      </w:r>
      <w:r w:rsidR="00DD3C0C">
        <w:rPr>
          <w:rFonts w:cstheme="minorHAnsi"/>
        </w:rPr>
        <w:t xml:space="preserve"> også etter 2020</w:t>
      </w:r>
      <w:r w:rsidR="009E5BAF">
        <w:rPr>
          <w:rFonts w:cstheme="minorHAnsi"/>
        </w:rPr>
        <w:t xml:space="preserve"> støtter </w:t>
      </w:r>
      <w:r w:rsidR="004C0BED">
        <w:rPr>
          <w:rFonts w:cstheme="minorHAnsi"/>
        </w:rPr>
        <w:t>v</w:t>
      </w:r>
      <w:r w:rsidR="006C7087">
        <w:rPr>
          <w:rFonts w:cstheme="minorHAnsi"/>
        </w:rPr>
        <w:t>i</w:t>
      </w:r>
      <w:r w:rsidR="00E450F5">
        <w:rPr>
          <w:rFonts w:cstheme="minorHAnsi"/>
        </w:rPr>
        <w:t xml:space="preserve"> h</w:t>
      </w:r>
      <w:r w:rsidR="00AC5618">
        <w:rPr>
          <w:rFonts w:cstheme="minorHAnsi"/>
        </w:rPr>
        <w:t>ovedinnretningen i rapporten om å ers</w:t>
      </w:r>
      <w:r>
        <w:rPr>
          <w:rFonts w:cstheme="minorHAnsi"/>
        </w:rPr>
        <w:t>t</w:t>
      </w:r>
      <w:r w:rsidR="00AC5618">
        <w:rPr>
          <w:rFonts w:cstheme="minorHAnsi"/>
        </w:rPr>
        <w:t>atte nedtrekke</w:t>
      </w:r>
      <w:r>
        <w:rPr>
          <w:rFonts w:cstheme="minorHAnsi"/>
        </w:rPr>
        <w:t>t</w:t>
      </w:r>
      <w:r w:rsidR="00AC5618">
        <w:rPr>
          <w:rFonts w:cstheme="minorHAnsi"/>
        </w:rPr>
        <w:t xml:space="preserve"> i politiutdannede med </w:t>
      </w:r>
      <w:r>
        <w:rPr>
          <w:rFonts w:cstheme="minorHAnsi"/>
        </w:rPr>
        <w:t xml:space="preserve">ansatte med </w:t>
      </w:r>
      <w:r w:rsidR="006E2EFD" w:rsidRPr="00D6796D">
        <w:rPr>
          <w:rFonts w:cstheme="minorHAnsi"/>
        </w:rPr>
        <w:t xml:space="preserve">annen kompetansebakgrunn. Dette vil på sikt gi en mer hensiktsmessig kompetansesammensetning i etaten. </w:t>
      </w:r>
    </w:p>
    <w:p w14:paraId="182A957A" w14:textId="34B52A95" w:rsidR="001F6AFA" w:rsidRDefault="001F6AFA" w:rsidP="006E2EFD">
      <w:pPr>
        <w:rPr>
          <w:rFonts w:cstheme="minorHAnsi"/>
        </w:rPr>
      </w:pPr>
    </w:p>
    <w:p w14:paraId="2C5E1C08" w14:textId="73755D7C" w:rsidR="006E2EFD" w:rsidRPr="006C7EB7" w:rsidRDefault="00A64C71" w:rsidP="001B08D5">
      <w:pPr>
        <w:rPr>
          <w:rFonts w:cstheme="minorHAnsi"/>
          <w:b/>
        </w:rPr>
      </w:pPr>
      <w:r w:rsidRPr="006C7EB7">
        <w:rPr>
          <w:rFonts w:cstheme="minorHAnsi"/>
          <w:b/>
        </w:rPr>
        <w:t>Effektivisering</w:t>
      </w:r>
    </w:p>
    <w:p w14:paraId="6C021FB9" w14:textId="120F1A44" w:rsidR="00B52760" w:rsidRPr="005574E9" w:rsidRDefault="009922BB" w:rsidP="00B52760">
      <w:pPr>
        <w:pStyle w:val="Rentekst"/>
        <w:rPr>
          <w:rFonts w:ascii="Garamond" w:hAnsi="Garamond"/>
          <w:sz w:val="24"/>
        </w:rPr>
      </w:pPr>
      <w:r w:rsidRPr="005574E9">
        <w:rPr>
          <w:rFonts w:ascii="Garamond" w:hAnsi="Garamond"/>
          <w:sz w:val="24"/>
        </w:rPr>
        <w:t>U</w:t>
      </w:r>
      <w:r w:rsidR="00A64C71" w:rsidRPr="005574E9">
        <w:rPr>
          <w:rFonts w:ascii="Garamond" w:hAnsi="Garamond"/>
          <w:sz w:val="24"/>
        </w:rPr>
        <w:t>tvalget</w:t>
      </w:r>
      <w:r w:rsidR="00F90006" w:rsidRPr="005574E9">
        <w:rPr>
          <w:rFonts w:ascii="Garamond" w:hAnsi="Garamond"/>
          <w:sz w:val="24"/>
        </w:rPr>
        <w:t xml:space="preserve"> legger til grunn en</w:t>
      </w:r>
      <w:r w:rsidR="00A64C71" w:rsidRPr="005574E9">
        <w:rPr>
          <w:rFonts w:ascii="Garamond" w:hAnsi="Garamond"/>
          <w:sz w:val="24"/>
        </w:rPr>
        <w:t xml:space="preserve"> effektivisering av oppgavene innen politiets</w:t>
      </w:r>
      <w:r w:rsidR="0068438C" w:rsidRPr="005574E9">
        <w:rPr>
          <w:rFonts w:ascii="Garamond" w:hAnsi="Garamond"/>
          <w:sz w:val="24"/>
        </w:rPr>
        <w:t xml:space="preserve"> kjerneoppgaver inne</w:t>
      </w:r>
      <w:r w:rsidR="00A64C71" w:rsidRPr="005574E9">
        <w:rPr>
          <w:rFonts w:ascii="Garamond" w:hAnsi="Garamond"/>
          <w:sz w:val="24"/>
        </w:rPr>
        <w:t xml:space="preserve"> forvaltningsoppgavene</w:t>
      </w:r>
      <w:r w:rsidR="0068438C" w:rsidRPr="005574E9">
        <w:rPr>
          <w:rFonts w:ascii="Garamond" w:hAnsi="Garamond"/>
          <w:sz w:val="24"/>
        </w:rPr>
        <w:t>,</w:t>
      </w:r>
      <w:r w:rsidR="00A64C71" w:rsidRPr="005574E9">
        <w:rPr>
          <w:rFonts w:ascii="Garamond" w:hAnsi="Garamond"/>
          <w:sz w:val="24"/>
        </w:rPr>
        <w:t xml:space="preserve"> sivil rettspleie</w:t>
      </w:r>
      <w:r w:rsidR="00ED38B4">
        <w:rPr>
          <w:rFonts w:ascii="Garamond" w:hAnsi="Garamond"/>
          <w:sz w:val="24"/>
        </w:rPr>
        <w:t xml:space="preserve"> og</w:t>
      </w:r>
      <w:r w:rsidR="0068438C" w:rsidRPr="005574E9">
        <w:rPr>
          <w:rFonts w:ascii="Garamond" w:hAnsi="Garamond"/>
          <w:sz w:val="24"/>
        </w:rPr>
        <w:t xml:space="preserve"> støttefunksjoner</w:t>
      </w:r>
      <w:r w:rsidR="00A64C71" w:rsidRPr="005574E9">
        <w:rPr>
          <w:rFonts w:ascii="Garamond" w:hAnsi="Garamond"/>
          <w:sz w:val="24"/>
        </w:rPr>
        <w:t xml:space="preserve">. Det anslås en effektiviseringsgevinst på </w:t>
      </w:r>
      <w:proofErr w:type="spellStart"/>
      <w:r w:rsidR="00A64C71" w:rsidRPr="005574E9">
        <w:rPr>
          <w:rFonts w:ascii="Garamond" w:hAnsi="Garamond"/>
          <w:sz w:val="24"/>
        </w:rPr>
        <w:t>ca</w:t>
      </w:r>
      <w:proofErr w:type="spellEnd"/>
      <w:r w:rsidR="00A64C71" w:rsidRPr="005574E9">
        <w:rPr>
          <w:rFonts w:ascii="Garamond" w:hAnsi="Garamond"/>
          <w:sz w:val="24"/>
        </w:rPr>
        <w:t xml:space="preserve"> 20 %, tilsvarende </w:t>
      </w:r>
      <w:proofErr w:type="spellStart"/>
      <w:r w:rsidR="00A64C71" w:rsidRPr="005574E9">
        <w:rPr>
          <w:rFonts w:ascii="Garamond" w:hAnsi="Garamond"/>
          <w:sz w:val="24"/>
        </w:rPr>
        <w:t>ca</w:t>
      </w:r>
      <w:proofErr w:type="spellEnd"/>
      <w:r w:rsidR="00A64C71" w:rsidRPr="005574E9">
        <w:rPr>
          <w:rFonts w:ascii="Garamond" w:hAnsi="Garamond"/>
          <w:sz w:val="24"/>
        </w:rPr>
        <w:t xml:space="preserve"> 800 årsverk, gjennom økt digitalisering og automatisering.</w:t>
      </w:r>
      <w:r w:rsidR="006C7EB7" w:rsidRPr="005574E9">
        <w:rPr>
          <w:rFonts w:ascii="Garamond" w:hAnsi="Garamond"/>
          <w:sz w:val="24"/>
        </w:rPr>
        <w:t xml:space="preserve"> </w:t>
      </w:r>
      <w:r w:rsidR="0074731B" w:rsidRPr="005574E9">
        <w:rPr>
          <w:rFonts w:ascii="Garamond" w:hAnsi="Garamond"/>
          <w:sz w:val="24"/>
        </w:rPr>
        <w:t>Parat</w:t>
      </w:r>
      <w:r w:rsidR="00E75198" w:rsidRPr="005574E9">
        <w:rPr>
          <w:rFonts w:ascii="Garamond" w:hAnsi="Garamond"/>
          <w:sz w:val="24"/>
        </w:rPr>
        <w:t xml:space="preserve"> støtter</w:t>
      </w:r>
      <w:r w:rsidR="00697927" w:rsidRPr="005574E9">
        <w:rPr>
          <w:rFonts w:ascii="Garamond" w:hAnsi="Garamond"/>
          <w:sz w:val="24"/>
        </w:rPr>
        <w:t xml:space="preserve"> tiltak for bedre ressurs</w:t>
      </w:r>
      <w:r w:rsidR="00787E13" w:rsidRPr="005574E9">
        <w:rPr>
          <w:rFonts w:ascii="Garamond" w:hAnsi="Garamond"/>
          <w:sz w:val="24"/>
        </w:rPr>
        <w:t>utnyttelse</w:t>
      </w:r>
      <w:r w:rsidR="00204A8C" w:rsidRPr="005574E9">
        <w:rPr>
          <w:rFonts w:ascii="Garamond" w:hAnsi="Garamond"/>
          <w:sz w:val="24"/>
        </w:rPr>
        <w:t>,</w:t>
      </w:r>
      <w:r w:rsidR="00697927" w:rsidRPr="005574E9">
        <w:rPr>
          <w:rFonts w:ascii="Garamond" w:hAnsi="Garamond"/>
          <w:sz w:val="24"/>
        </w:rPr>
        <w:t xml:space="preserve"> men</w:t>
      </w:r>
      <w:r w:rsidR="00787E13" w:rsidRPr="005574E9">
        <w:rPr>
          <w:rFonts w:ascii="Garamond" w:hAnsi="Garamond"/>
          <w:sz w:val="24"/>
        </w:rPr>
        <w:t xml:space="preserve"> </w:t>
      </w:r>
      <w:r w:rsidR="00204A8C" w:rsidRPr="005574E9">
        <w:rPr>
          <w:rFonts w:ascii="Garamond" w:hAnsi="Garamond"/>
          <w:sz w:val="24"/>
        </w:rPr>
        <w:t xml:space="preserve">det </w:t>
      </w:r>
      <w:r w:rsidR="0087607D" w:rsidRPr="005574E9">
        <w:rPr>
          <w:rFonts w:ascii="Garamond" w:hAnsi="Garamond"/>
          <w:sz w:val="24"/>
        </w:rPr>
        <w:t xml:space="preserve">vil kreve både tid og investeringer i teknologi og kompetanse. </w:t>
      </w:r>
      <w:r w:rsidR="007C2436">
        <w:rPr>
          <w:rFonts w:ascii="Garamond" w:hAnsi="Garamond"/>
          <w:sz w:val="24"/>
        </w:rPr>
        <w:t>Spørsmålet er når gevinstene vil komme og hvordan de kan kartlegges</w:t>
      </w:r>
      <w:r w:rsidR="005B5F4D" w:rsidRPr="005574E9">
        <w:rPr>
          <w:rFonts w:ascii="Garamond" w:hAnsi="Garamond"/>
          <w:sz w:val="24"/>
        </w:rPr>
        <w:t>?</w:t>
      </w:r>
      <w:r w:rsidR="00B52760" w:rsidRPr="005574E9">
        <w:rPr>
          <w:rFonts w:ascii="Garamond" w:hAnsi="Garamond"/>
          <w:sz w:val="24"/>
        </w:rPr>
        <w:t xml:space="preserve"> Erfaring fra tidligere digitalisering innenfor</w:t>
      </w:r>
      <w:r w:rsidR="005A72F0" w:rsidRPr="005574E9">
        <w:rPr>
          <w:rFonts w:ascii="Garamond" w:hAnsi="Garamond"/>
          <w:sz w:val="24"/>
        </w:rPr>
        <w:t xml:space="preserve"> </w:t>
      </w:r>
      <w:r w:rsidR="00B52760" w:rsidRPr="005574E9">
        <w:rPr>
          <w:rFonts w:ascii="Garamond" w:hAnsi="Garamond"/>
          <w:sz w:val="24"/>
        </w:rPr>
        <w:t>eksempel sivil rettspleie har ikke gitt full effektiviseringsgevinst selv 10 år etter innføring</w:t>
      </w:r>
      <w:r w:rsidR="005A72F0" w:rsidRPr="005574E9">
        <w:rPr>
          <w:rFonts w:ascii="Garamond" w:hAnsi="Garamond"/>
          <w:sz w:val="24"/>
        </w:rPr>
        <w:t>en</w:t>
      </w:r>
      <w:r w:rsidR="00B52760" w:rsidRPr="005574E9">
        <w:rPr>
          <w:rFonts w:ascii="Garamond" w:hAnsi="Garamond"/>
          <w:sz w:val="24"/>
        </w:rPr>
        <w:t>.</w:t>
      </w:r>
    </w:p>
    <w:p w14:paraId="49EF9E9A" w14:textId="77777777" w:rsidR="006F3924" w:rsidRDefault="006F3924" w:rsidP="001B08D5">
      <w:pPr>
        <w:rPr>
          <w:rFonts w:cstheme="minorHAnsi"/>
        </w:rPr>
      </w:pPr>
    </w:p>
    <w:p w14:paraId="3267FAF8" w14:textId="16010101" w:rsidR="00930033" w:rsidRDefault="0087607D" w:rsidP="001B08D5">
      <w:pPr>
        <w:rPr>
          <w:rFonts w:cstheme="minorHAnsi"/>
        </w:rPr>
      </w:pPr>
      <w:r>
        <w:rPr>
          <w:rFonts w:cstheme="minorHAnsi"/>
        </w:rPr>
        <w:t>Estimate</w:t>
      </w:r>
      <w:r w:rsidR="00E75198">
        <w:rPr>
          <w:rFonts w:cstheme="minorHAnsi"/>
        </w:rPr>
        <w:t>t</w:t>
      </w:r>
      <w:r>
        <w:rPr>
          <w:rFonts w:cstheme="minorHAnsi"/>
        </w:rPr>
        <w:t xml:space="preserve"> </w:t>
      </w:r>
      <w:r w:rsidR="00E66278">
        <w:rPr>
          <w:rFonts w:cstheme="minorHAnsi"/>
        </w:rPr>
        <w:t>om at polit</w:t>
      </w:r>
      <w:r w:rsidR="00553E9F">
        <w:rPr>
          <w:rFonts w:cstheme="minorHAnsi"/>
        </w:rPr>
        <w:t>i</w:t>
      </w:r>
      <w:r w:rsidR="00E66278">
        <w:rPr>
          <w:rFonts w:cstheme="minorHAnsi"/>
        </w:rPr>
        <w:t xml:space="preserve">et fra </w:t>
      </w:r>
      <w:r w:rsidR="00553E9F">
        <w:rPr>
          <w:rFonts w:cstheme="minorHAnsi"/>
        </w:rPr>
        <w:t>2021 – 2025 vi</w:t>
      </w:r>
      <w:r w:rsidR="00FB5D01">
        <w:rPr>
          <w:rFonts w:cstheme="minorHAnsi"/>
        </w:rPr>
        <w:t>l</w:t>
      </w:r>
      <w:r w:rsidR="00553E9F">
        <w:rPr>
          <w:rFonts w:cstheme="minorHAnsi"/>
        </w:rPr>
        <w:t xml:space="preserve"> kunne «hente ut» 800 årsverk </w:t>
      </w:r>
      <w:r w:rsidR="004C0BED">
        <w:rPr>
          <w:rFonts w:cstheme="minorHAnsi"/>
        </w:rPr>
        <w:t>er ikke realistisk</w:t>
      </w:r>
      <w:r w:rsidR="00553E9F">
        <w:rPr>
          <w:rFonts w:cstheme="minorHAnsi"/>
        </w:rPr>
        <w:t xml:space="preserve">. </w:t>
      </w:r>
      <w:r w:rsidR="002353E9">
        <w:rPr>
          <w:rFonts w:cstheme="minorHAnsi"/>
        </w:rPr>
        <w:t>Erfaringsvis vil det ta lang tid å frigjøre årsverk basert på d</w:t>
      </w:r>
      <w:r w:rsidR="00611160">
        <w:rPr>
          <w:rFonts w:cstheme="minorHAnsi"/>
        </w:rPr>
        <w:t>igitalisering og annen effektivisering</w:t>
      </w:r>
      <w:r w:rsidR="002353E9">
        <w:rPr>
          <w:rFonts w:cstheme="minorHAnsi"/>
        </w:rPr>
        <w:t xml:space="preserve">. </w:t>
      </w:r>
      <w:r w:rsidR="00930033" w:rsidRPr="00D6796D">
        <w:rPr>
          <w:rFonts w:cstheme="minorHAnsi"/>
        </w:rPr>
        <w:t xml:space="preserve">Utvalget foreslår en gradvis reduksjon av 200 årsverk i året fra 2021. Dette er </w:t>
      </w:r>
      <w:r w:rsidR="00930033">
        <w:rPr>
          <w:rFonts w:cstheme="minorHAnsi"/>
        </w:rPr>
        <w:t xml:space="preserve">et </w:t>
      </w:r>
      <w:r w:rsidR="00930033" w:rsidRPr="00D6796D">
        <w:rPr>
          <w:rFonts w:cstheme="minorHAnsi"/>
        </w:rPr>
        <w:t xml:space="preserve">for høyt </w:t>
      </w:r>
      <w:r w:rsidR="00930033">
        <w:rPr>
          <w:rFonts w:cstheme="minorHAnsi"/>
        </w:rPr>
        <w:t xml:space="preserve">anslag </w:t>
      </w:r>
      <w:r w:rsidR="00930033" w:rsidRPr="00D6796D">
        <w:rPr>
          <w:rFonts w:cstheme="minorHAnsi"/>
        </w:rPr>
        <w:t xml:space="preserve">og vil ikke kunne realiseres gjennom naturlig avgang. En effektivisering av støttefunksjoner, forvaltning og sivil rettspleie må derfor utredes bedre. Blant annet må mulighetene for videreutdanning og overføring av </w:t>
      </w:r>
      <w:r w:rsidR="00FB5D01">
        <w:rPr>
          <w:rFonts w:cstheme="minorHAnsi"/>
        </w:rPr>
        <w:t xml:space="preserve">overtallige </w:t>
      </w:r>
      <w:r w:rsidR="00930033" w:rsidRPr="00D6796D">
        <w:rPr>
          <w:rFonts w:cstheme="minorHAnsi"/>
        </w:rPr>
        <w:t>sivilt ansatte til politiets kjerneoppgaver kartlegges</w:t>
      </w:r>
      <w:r w:rsidR="00585DD5">
        <w:rPr>
          <w:rFonts w:cstheme="minorHAnsi"/>
        </w:rPr>
        <w:t xml:space="preserve">. </w:t>
      </w:r>
    </w:p>
    <w:p w14:paraId="5B967E8C" w14:textId="3781ADBB" w:rsidR="00D32098" w:rsidRDefault="00D32098" w:rsidP="001B08D5">
      <w:pPr>
        <w:rPr>
          <w:rFonts w:cstheme="minorHAnsi"/>
        </w:rPr>
      </w:pPr>
    </w:p>
    <w:p w14:paraId="57D1AC99" w14:textId="46E1F55E" w:rsidR="00D32098" w:rsidRDefault="00D32098" w:rsidP="0074731B">
      <w:r>
        <w:t>Videre må det også gjennomføres en kartlegging av eksisterende kompetanse i politiet</w:t>
      </w:r>
      <w:r w:rsidR="00A57F21">
        <w:t>. D</w:t>
      </w:r>
      <w:r>
        <w:t>et er allerede mange sivil</w:t>
      </w:r>
      <w:r w:rsidR="00F92044">
        <w:t>t</w:t>
      </w:r>
      <w:r>
        <w:t xml:space="preserve"> ansatte med master og annen høyere utdanning, som det kan utnyttes bedre enn i dag. </w:t>
      </w:r>
    </w:p>
    <w:p w14:paraId="04F2B5DB" w14:textId="1FC37A8A" w:rsidR="00D32098" w:rsidRDefault="00D32098" w:rsidP="0074731B">
      <w:pPr>
        <w:rPr>
          <w:rFonts w:cstheme="minorHAnsi"/>
        </w:rPr>
      </w:pPr>
    </w:p>
    <w:p w14:paraId="5C9F3A0D" w14:textId="4689A670" w:rsidR="00A02BAF" w:rsidRDefault="0055152F" w:rsidP="0074731B">
      <w:r>
        <w:t>Vi vil samtidi</w:t>
      </w:r>
      <w:r w:rsidR="001E740D">
        <w:t xml:space="preserve">g påpeke </w:t>
      </w:r>
      <w:r w:rsidR="004146EE">
        <w:t>samfunns</w:t>
      </w:r>
      <w:r w:rsidR="001E740D">
        <w:t xml:space="preserve">nytten av </w:t>
      </w:r>
      <w:r w:rsidR="00682D59">
        <w:t>at politiet har en bredt sammensatt oppgaveportefølje.</w:t>
      </w:r>
      <w:r w:rsidR="004146EE">
        <w:t xml:space="preserve"> Ved vurdering av</w:t>
      </w:r>
      <w:r w:rsidR="00682D59">
        <w:t xml:space="preserve"> </w:t>
      </w:r>
      <w:r w:rsidR="004146EE">
        <w:t xml:space="preserve">om </w:t>
      </w:r>
      <w:r w:rsidR="00A02BAF">
        <w:t>andre aktører kan løse deler av politiets oppgaver mer kostnadseffektivt</w:t>
      </w:r>
      <w:r w:rsidR="004146EE">
        <w:t xml:space="preserve"> </w:t>
      </w:r>
      <w:r w:rsidR="0036431B">
        <w:t xml:space="preserve">må det også tas med i betraktningen at </w:t>
      </w:r>
      <w:r w:rsidR="00A02BAF">
        <w:t xml:space="preserve">politiet </w:t>
      </w:r>
      <w:r w:rsidR="0036431B">
        <w:t xml:space="preserve">kan risikere å miste </w:t>
      </w:r>
      <w:r w:rsidR="00A02BAF">
        <w:t xml:space="preserve">sitt sivile preg. </w:t>
      </w:r>
      <w:r w:rsidR="00883128">
        <w:t>Dagens</w:t>
      </w:r>
      <w:r w:rsidR="0074731B">
        <w:t xml:space="preserve"> </w:t>
      </w:r>
      <w:r w:rsidR="00A02BAF">
        <w:t xml:space="preserve">oppgaveportefølje </w:t>
      </w:r>
      <w:r w:rsidR="007070A1">
        <w:t xml:space="preserve">er etter vår mening hensiktsmessig og er både samfunnsøkonomisk og med på å </w:t>
      </w:r>
      <w:r w:rsidR="00A02BAF">
        <w:t xml:space="preserve">bevare </w:t>
      </w:r>
      <w:r w:rsidR="007070A1">
        <w:t>politiets</w:t>
      </w:r>
      <w:r w:rsidR="00A02BAF">
        <w:t xml:space="preserve"> sivile preg.</w:t>
      </w:r>
    </w:p>
    <w:p w14:paraId="3CB801C5" w14:textId="7A28AA0B" w:rsidR="00487EA7" w:rsidRDefault="00487EA7" w:rsidP="001B08D5"/>
    <w:p w14:paraId="08A5B45D" w14:textId="7B5A2D85" w:rsidR="004F6C5F" w:rsidRPr="004F6C5F" w:rsidRDefault="004F6C5F" w:rsidP="00D5240C">
      <w:pPr>
        <w:rPr>
          <w:rFonts w:cstheme="minorHAnsi"/>
          <w:b/>
        </w:rPr>
      </w:pPr>
      <w:r w:rsidRPr="004F6C5F">
        <w:rPr>
          <w:rFonts w:cstheme="minorHAnsi"/>
          <w:b/>
        </w:rPr>
        <w:t>Strategisk kompetanseplan</w:t>
      </w:r>
    </w:p>
    <w:p w14:paraId="384618E9" w14:textId="0E3E386F" w:rsidR="00CC681C" w:rsidRPr="00D6796D" w:rsidRDefault="0074731B" w:rsidP="00D5240C">
      <w:pPr>
        <w:rPr>
          <w:rFonts w:cstheme="minorHAnsi"/>
        </w:rPr>
      </w:pPr>
      <w:r>
        <w:rPr>
          <w:rFonts w:cstheme="minorHAnsi"/>
        </w:rPr>
        <w:t>Parat</w:t>
      </w:r>
      <w:r w:rsidR="00031315" w:rsidRPr="00D6796D">
        <w:rPr>
          <w:rFonts w:cstheme="minorHAnsi"/>
        </w:rPr>
        <w:t xml:space="preserve"> er positive til forslaget om utvikling av en nasjonal strategisk kompetanseplan for politi- og lensmannsetaten.</w:t>
      </w:r>
      <w:r w:rsidR="00DA1A3E">
        <w:rPr>
          <w:rFonts w:cstheme="minorHAnsi"/>
        </w:rPr>
        <w:t xml:space="preserve"> </w:t>
      </w:r>
      <w:r w:rsidR="00C37A35">
        <w:rPr>
          <w:rFonts w:cstheme="minorHAnsi"/>
        </w:rPr>
        <w:t xml:space="preserve">Dette er noe medlemmene </w:t>
      </w:r>
      <w:r w:rsidR="00DA1A3E">
        <w:rPr>
          <w:rFonts w:cstheme="minorHAnsi"/>
        </w:rPr>
        <w:t xml:space="preserve">har </w:t>
      </w:r>
      <w:r w:rsidR="00D5240C" w:rsidRPr="00D6796D">
        <w:rPr>
          <w:rFonts w:cstheme="minorHAnsi"/>
        </w:rPr>
        <w:t>vært opptatt av og etterlyst gjennom flere år. En nasjonal strategisk kompetanseplan må nødvendigvis innebærer en kartlegging av eksisterende kompetanse</w:t>
      </w:r>
      <w:r w:rsidR="003C2D94">
        <w:rPr>
          <w:rFonts w:cstheme="minorHAnsi"/>
        </w:rPr>
        <w:t>, noe</w:t>
      </w:r>
      <w:r w:rsidR="00D5240C" w:rsidRPr="00D6796D">
        <w:rPr>
          <w:rFonts w:cstheme="minorHAnsi"/>
        </w:rPr>
        <w:t xml:space="preserve"> vi allerede har påpekt mangler i utvalgets rapport</w:t>
      </w:r>
      <w:r w:rsidR="006073D1">
        <w:rPr>
          <w:rFonts w:cstheme="minorHAnsi"/>
        </w:rPr>
        <w:t xml:space="preserve">. </w:t>
      </w:r>
      <w:r w:rsidR="00E767E2">
        <w:rPr>
          <w:rFonts w:cstheme="minorHAnsi"/>
        </w:rPr>
        <w:br/>
      </w:r>
      <w:r w:rsidR="00E767E2">
        <w:rPr>
          <w:rFonts w:cstheme="minorHAnsi"/>
        </w:rPr>
        <w:br/>
      </w:r>
      <w:r w:rsidR="006C7E9D">
        <w:rPr>
          <w:rFonts w:cstheme="minorHAnsi"/>
        </w:rPr>
        <w:t xml:space="preserve">Vi </w:t>
      </w:r>
      <w:r w:rsidR="00C5016A">
        <w:rPr>
          <w:rFonts w:cstheme="minorHAnsi"/>
        </w:rPr>
        <w:t>støt</w:t>
      </w:r>
      <w:r w:rsidR="00840473">
        <w:rPr>
          <w:rFonts w:cstheme="minorHAnsi"/>
        </w:rPr>
        <w:t>t</w:t>
      </w:r>
      <w:r w:rsidR="00C5016A">
        <w:rPr>
          <w:rFonts w:cstheme="minorHAnsi"/>
        </w:rPr>
        <w:t xml:space="preserve">er også forslaget om et </w:t>
      </w:r>
      <w:r w:rsidR="008851C1">
        <w:rPr>
          <w:rFonts w:cstheme="minorHAnsi"/>
        </w:rPr>
        <w:t xml:space="preserve">nasjonalt kunnskapssenter </w:t>
      </w:r>
      <w:r w:rsidR="00486918">
        <w:rPr>
          <w:rFonts w:cstheme="minorHAnsi"/>
        </w:rPr>
        <w:t xml:space="preserve">med ansvar for systematisk kunnskap </w:t>
      </w:r>
      <w:r w:rsidR="00486918">
        <w:rPr>
          <w:rFonts w:cstheme="minorHAnsi"/>
        </w:rPr>
        <w:lastRenderedPageBreak/>
        <w:t>om hva som virker</w:t>
      </w:r>
      <w:r w:rsidR="00323F8B">
        <w:rPr>
          <w:rFonts w:cstheme="minorHAnsi"/>
        </w:rPr>
        <w:t xml:space="preserve">. </w:t>
      </w:r>
      <w:r w:rsidR="00C5016A">
        <w:rPr>
          <w:rFonts w:cstheme="minorHAnsi"/>
        </w:rPr>
        <w:t xml:space="preserve">Dette er </w:t>
      </w:r>
      <w:r w:rsidR="00487BC0">
        <w:rPr>
          <w:rFonts w:cstheme="minorHAnsi"/>
        </w:rPr>
        <w:t xml:space="preserve">allerede </w:t>
      </w:r>
      <w:r w:rsidR="00A93513">
        <w:rPr>
          <w:rFonts w:cstheme="minorHAnsi"/>
        </w:rPr>
        <w:t xml:space="preserve">på god vei </w:t>
      </w:r>
      <w:r w:rsidR="00223233">
        <w:rPr>
          <w:rFonts w:cstheme="minorHAnsi"/>
        </w:rPr>
        <w:t xml:space="preserve">til å bli </w:t>
      </w:r>
      <w:r w:rsidR="00487BC0">
        <w:rPr>
          <w:rFonts w:cstheme="minorHAnsi"/>
        </w:rPr>
        <w:t>innført</w:t>
      </w:r>
      <w:r w:rsidR="00A93513">
        <w:rPr>
          <w:rFonts w:cstheme="minorHAnsi"/>
        </w:rPr>
        <w:t xml:space="preserve"> gjennom </w:t>
      </w:r>
      <w:r w:rsidR="00274235">
        <w:rPr>
          <w:rFonts w:cstheme="minorHAnsi"/>
        </w:rPr>
        <w:t>den</w:t>
      </w:r>
      <w:r w:rsidR="00A93513">
        <w:rPr>
          <w:rFonts w:cstheme="minorHAnsi"/>
        </w:rPr>
        <w:t xml:space="preserve"> nye fagforvaltingsmodell</w:t>
      </w:r>
      <w:r w:rsidR="00840473">
        <w:rPr>
          <w:rFonts w:cstheme="minorHAnsi"/>
        </w:rPr>
        <w:t>en</w:t>
      </w:r>
      <w:r w:rsidR="00A90C4A">
        <w:rPr>
          <w:rFonts w:cstheme="minorHAnsi"/>
        </w:rPr>
        <w:t xml:space="preserve"> hvor Politihøgskolen har </w:t>
      </w:r>
      <w:r w:rsidR="00840473">
        <w:rPr>
          <w:rFonts w:cstheme="minorHAnsi"/>
        </w:rPr>
        <w:t xml:space="preserve">fått </w:t>
      </w:r>
      <w:r w:rsidR="003878BF">
        <w:rPr>
          <w:rFonts w:cstheme="minorHAnsi"/>
        </w:rPr>
        <w:t>koordinering</w:t>
      </w:r>
      <w:r w:rsidR="00840473">
        <w:rPr>
          <w:rFonts w:cstheme="minorHAnsi"/>
        </w:rPr>
        <w:t>sansvaret</w:t>
      </w:r>
      <w:r w:rsidR="003878BF">
        <w:rPr>
          <w:rFonts w:cstheme="minorHAnsi"/>
        </w:rPr>
        <w:t>.</w:t>
      </w:r>
    </w:p>
    <w:p w14:paraId="44E7B8E3" w14:textId="77777777" w:rsidR="00D5240C" w:rsidRDefault="00D5240C" w:rsidP="001B08D5">
      <w:pPr>
        <w:rPr>
          <w:rFonts w:cstheme="minorHAnsi"/>
        </w:rPr>
      </w:pPr>
    </w:p>
    <w:p w14:paraId="551D9725" w14:textId="2E32641D" w:rsidR="00ED3C6F" w:rsidRPr="00ED3C6F" w:rsidRDefault="00ED3C6F" w:rsidP="00436037">
      <w:pPr>
        <w:rPr>
          <w:rFonts w:cstheme="minorHAnsi"/>
          <w:b/>
        </w:rPr>
      </w:pPr>
      <w:r w:rsidRPr="00ED3C6F">
        <w:rPr>
          <w:rFonts w:cstheme="minorHAnsi"/>
          <w:b/>
        </w:rPr>
        <w:t>Politihøgskolen</w:t>
      </w:r>
    </w:p>
    <w:p w14:paraId="622C6E74" w14:textId="49198568" w:rsidR="00F66B87" w:rsidRDefault="005574E9" w:rsidP="001B08D5">
      <w:pPr>
        <w:rPr>
          <w:rFonts w:cstheme="minorHAnsi"/>
        </w:rPr>
      </w:pPr>
      <w:r>
        <w:rPr>
          <w:rFonts w:cstheme="minorHAnsi"/>
        </w:rPr>
        <w:t>Parat</w:t>
      </w:r>
      <w:r w:rsidR="00DF2A50">
        <w:rPr>
          <w:rFonts w:cstheme="minorHAnsi"/>
        </w:rPr>
        <w:t xml:space="preserve"> er skeptiske til </w:t>
      </w:r>
      <w:r w:rsidR="00160D8E">
        <w:rPr>
          <w:rFonts w:cstheme="minorHAnsi"/>
        </w:rPr>
        <w:t>u</w:t>
      </w:r>
      <w:r w:rsidR="008A48A8">
        <w:rPr>
          <w:rFonts w:cstheme="minorHAnsi"/>
        </w:rPr>
        <w:t>tvalget</w:t>
      </w:r>
      <w:r w:rsidR="00160D8E">
        <w:rPr>
          <w:rFonts w:cstheme="minorHAnsi"/>
        </w:rPr>
        <w:t xml:space="preserve">s forslag </w:t>
      </w:r>
      <w:r w:rsidR="003F694B">
        <w:rPr>
          <w:rFonts w:cstheme="minorHAnsi"/>
        </w:rPr>
        <w:t xml:space="preserve">om </w:t>
      </w:r>
      <w:r w:rsidR="00160D8E">
        <w:rPr>
          <w:rFonts w:cstheme="minorHAnsi"/>
        </w:rPr>
        <w:t>linjedeling e</w:t>
      </w:r>
      <w:r w:rsidR="00B20CF4">
        <w:rPr>
          <w:rFonts w:cstheme="minorHAnsi"/>
        </w:rPr>
        <w:t xml:space="preserve">ller spesialisering av politiets </w:t>
      </w:r>
      <w:r w:rsidR="006B0B9C">
        <w:rPr>
          <w:rFonts w:cstheme="minorHAnsi"/>
        </w:rPr>
        <w:t>grunnutdanning</w:t>
      </w:r>
      <w:r w:rsidR="00CA719F">
        <w:rPr>
          <w:rFonts w:cstheme="minorHAnsi"/>
        </w:rPr>
        <w:t xml:space="preserve"> på Pol</w:t>
      </w:r>
      <w:r w:rsidR="00DF2A50">
        <w:rPr>
          <w:rFonts w:cstheme="minorHAnsi"/>
        </w:rPr>
        <w:t>i</w:t>
      </w:r>
      <w:r w:rsidR="00CA719F">
        <w:rPr>
          <w:rFonts w:cstheme="minorHAnsi"/>
        </w:rPr>
        <w:t>tihøgskolen</w:t>
      </w:r>
      <w:r w:rsidR="00B20CF4" w:rsidRPr="00B20CF4">
        <w:rPr>
          <w:rFonts w:cstheme="minorHAnsi"/>
        </w:rPr>
        <w:t xml:space="preserve"> </w:t>
      </w:r>
      <w:r w:rsidR="00B20CF4" w:rsidRPr="00D6796D">
        <w:rPr>
          <w:rFonts w:cstheme="minorHAnsi"/>
        </w:rPr>
        <w:t>innen etterretning, forebygging, etterforskning og operative disipliner</w:t>
      </w:r>
      <w:r w:rsidR="006B0B9C">
        <w:rPr>
          <w:rFonts w:cstheme="minorHAnsi"/>
        </w:rPr>
        <w:t>.</w:t>
      </w:r>
      <w:r w:rsidR="00B20CF4">
        <w:rPr>
          <w:rFonts w:cstheme="minorHAnsi"/>
        </w:rPr>
        <w:t xml:space="preserve"> G</w:t>
      </w:r>
      <w:r w:rsidR="006D36D0" w:rsidRPr="00D6796D">
        <w:rPr>
          <w:rFonts w:cstheme="minorHAnsi"/>
        </w:rPr>
        <w:t>runnutdanning</w:t>
      </w:r>
      <w:r w:rsidR="00B20CF4">
        <w:rPr>
          <w:rFonts w:cstheme="minorHAnsi"/>
        </w:rPr>
        <w:t>en</w:t>
      </w:r>
      <w:r w:rsidR="006D36D0" w:rsidRPr="00D6796D">
        <w:rPr>
          <w:rFonts w:cstheme="minorHAnsi"/>
        </w:rPr>
        <w:t>, med en treårig bachelor, er bærebjelken i dagens politistyrke og sikrer en enhetlig bakgrunn med høy kvalitet. Spesialisering og videreut</w:t>
      </w:r>
      <w:r w:rsidR="0094679C">
        <w:rPr>
          <w:rFonts w:cstheme="minorHAnsi"/>
        </w:rPr>
        <w:t>danning</w:t>
      </w:r>
      <w:r w:rsidR="006D36D0" w:rsidRPr="00D6796D">
        <w:rPr>
          <w:rFonts w:cstheme="minorHAnsi"/>
        </w:rPr>
        <w:t xml:space="preserve"> bør etter vår mening gjennomføres som en påbygging og spesialisering på nødvendige </w:t>
      </w:r>
      <w:r w:rsidR="00856BB5">
        <w:rPr>
          <w:rFonts w:cstheme="minorHAnsi"/>
        </w:rPr>
        <w:t>fag</w:t>
      </w:r>
      <w:r w:rsidR="006D36D0" w:rsidRPr="00D6796D">
        <w:rPr>
          <w:rFonts w:cstheme="minorHAnsi"/>
        </w:rPr>
        <w:t>områder</w:t>
      </w:r>
      <w:r w:rsidR="00856BB5">
        <w:rPr>
          <w:rFonts w:cstheme="minorHAnsi"/>
        </w:rPr>
        <w:t>,</w:t>
      </w:r>
      <w:r w:rsidR="00F66B87">
        <w:rPr>
          <w:rFonts w:cstheme="minorHAnsi"/>
        </w:rPr>
        <w:t xml:space="preserve"> </w:t>
      </w:r>
      <w:r w:rsidR="00F66B87" w:rsidRPr="00D6796D">
        <w:rPr>
          <w:rFonts w:cstheme="minorHAnsi"/>
        </w:rPr>
        <w:t>og læring gjennom praksis</w:t>
      </w:r>
      <w:r w:rsidR="006D36D0">
        <w:rPr>
          <w:rFonts w:cstheme="minorHAnsi"/>
        </w:rPr>
        <w:t>.</w:t>
      </w:r>
      <w:r w:rsidR="00B443B7" w:rsidRPr="00B443B7">
        <w:rPr>
          <w:rFonts w:cstheme="minorHAnsi"/>
        </w:rPr>
        <w:t xml:space="preserve"> </w:t>
      </w:r>
    </w:p>
    <w:p w14:paraId="66E32C42" w14:textId="48CA43A5" w:rsidR="00DF2A50" w:rsidRDefault="00DF2A50" w:rsidP="001B08D5">
      <w:pPr>
        <w:rPr>
          <w:rFonts w:cstheme="minorHAnsi"/>
        </w:rPr>
      </w:pPr>
    </w:p>
    <w:p w14:paraId="3C68AC6A" w14:textId="2F6D3D13" w:rsidR="00583F3B" w:rsidRDefault="00B20CF4" w:rsidP="00A2655A">
      <w:pPr>
        <w:rPr>
          <w:rFonts w:cstheme="minorHAnsi"/>
        </w:rPr>
      </w:pPr>
      <w:r>
        <w:rPr>
          <w:rFonts w:cstheme="minorHAnsi"/>
        </w:rPr>
        <w:t xml:space="preserve">Vi er imidlertid positive til </w:t>
      </w:r>
      <w:r w:rsidR="003303D7">
        <w:rPr>
          <w:rFonts w:cstheme="minorHAnsi"/>
        </w:rPr>
        <w:t>å</w:t>
      </w:r>
      <w:r w:rsidR="00DF2A50" w:rsidRPr="00D6796D">
        <w:rPr>
          <w:rFonts w:cstheme="minorHAnsi"/>
        </w:rPr>
        <w:t xml:space="preserve"> </w:t>
      </w:r>
      <w:r w:rsidR="00476E15">
        <w:rPr>
          <w:rFonts w:cstheme="minorHAnsi"/>
        </w:rPr>
        <w:t xml:space="preserve">etablere </w:t>
      </w:r>
      <w:r w:rsidR="002B42D1">
        <w:rPr>
          <w:rFonts w:cstheme="minorHAnsi"/>
        </w:rPr>
        <w:t>utdanningstilbud</w:t>
      </w:r>
      <w:r w:rsidR="003303D7">
        <w:rPr>
          <w:rFonts w:cstheme="minorHAnsi"/>
        </w:rPr>
        <w:t xml:space="preserve"> for å </w:t>
      </w:r>
      <w:r w:rsidR="00DF2A50" w:rsidRPr="00D6796D">
        <w:rPr>
          <w:rFonts w:cstheme="minorHAnsi"/>
        </w:rPr>
        <w:t>rekruttere ansatte med annen kompetansebakgrunn</w:t>
      </w:r>
      <w:r w:rsidR="00A23BF5">
        <w:rPr>
          <w:rFonts w:cstheme="minorHAnsi"/>
        </w:rPr>
        <w:t xml:space="preserve"> i politiet</w:t>
      </w:r>
      <w:r w:rsidR="004173CE">
        <w:rPr>
          <w:rFonts w:cstheme="minorHAnsi"/>
        </w:rPr>
        <w:t xml:space="preserve"> i tillegg til dagens grunn- og videreutdanning</w:t>
      </w:r>
      <w:r w:rsidR="003303D7">
        <w:rPr>
          <w:rFonts w:cstheme="minorHAnsi"/>
        </w:rPr>
        <w:t>.</w:t>
      </w:r>
      <w:r w:rsidR="00CD4260">
        <w:rPr>
          <w:rFonts w:cstheme="minorHAnsi"/>
        </w:rPr>
        <w:t xml:space="preserve"> </w:t>
      </w:r>
      <w:r w:rsidR="00CD4260" w:rsidRPr="00D6796D">
        <w:rPr>
          <w:rFonts w:cstheme="minorHAnsi"/>
        </w:rPr>
        <w:t>Utvalget peker spesielt på behovet for kompetanse innen informatikk, teknologi, økonomi og analyse.</w:t>
      </w:r>
      <w:r w:rsidR="00444A67" w:rsidRPr="00444A67">
        <w:rPr>
          <w:rFonts w:cstheme="minorHAnsi"/>
        </w:rPr>
        <w:t xml:space="preserve"> </w:t>
      </w:r>
      <w:r w:rsidR="00444A67">
        <w:rPr>
          <w:rFonts w:cstheme="minorHAnsi"/>
        </w:rPr>
        <w:t>Forslaget går ut å opprette en n</w:t>
      </w:r>
      <w:r w:rsidR="00444A67" w:rsidRPr="00D6796D">
        <w:rPr>
          <w:rFonts w:cstheme="minorHAnsi"/>
        </w:rPr>
        <w:t>y sidestilt inngang til politiet gjennom et påbyggingsår på Politihøgskolen for sivilt utdannede med en bachelor eller master innenfor de aktuelle kompetanseområdene. Påbyggingsåret skal gi politimyndighet nok til å utøve oppgavene.</w:t>
      </w:r>
      <w:r w:rsidR="00583F3B">
        <w:rPr>
          <w:rFonts w:cstheme="minorHAnsi"/>
        </w:rPr>
        <w:t xml:space="preserve"> </w:t>
      </w:r>
    </w:p>
    <w:p w14:paraId="404A4F44" w14:textId="77777777" w:rsidR="00583F3B" w:rsidRDefault="00583F3B" w:rsidP="00A2655A">
      <w:pPr>
        <w:rPr>
          <w:rFonts w:cstheme="minorHAnsi"/>
        </w:rPr>
      </w:pPr>
    </w:p>
    <w:p w14:paraId="41696D6E" w14:textId="60D85EB6" w:rsidR="005D435E" w:rsidRDefault="00583F3B" w:rsidP="00A2655A">
      <w:pPr>
        <w:rPr>
          <w:rFonts w:cstheme="minorHAnsi"/>
        </w:rPr>
      </w:pPr>
      <w:r>
        <w:rPr>
          <w:rFonts w:cstheme="minorHAnsi"/>
        </w:rPr>
        <w:t xml:space="preserve">Under forutsetning av at det her er snakk om begrenset politimyndighet </w:t>
      </w:r>
      <w:r w:rsidR="003437FA">
        <w:rPr>
          <w:rFonts w:cstheme="minorHAnsi"/>
        </w:rPr>
        <w:t xml:space="preserve">støtter </w:t>
      </w:r>
      <w:r w:rsidR="002E074A">
        <w:rPr>
          <w:rFonts w:cstheme="minorHAnsi"/>
        </w:rPr>
        <w:t xml:space="preserve">vi </w:t>
      </w:r>
      <w:r w:rsidR="003437FA">
        <w:rPr>
          <w:rFonts w:cstheme="minorHAnsi"/>
        </w:rPr>
        <w:t xml:space="preserve">dette og mener det </w:t>
      </w:r>
      <w:r w:rsidR="00C96200">
        <w:rPr>
          <w:rFonts w:cstheme="minorHAnsi"/>
        </w:rPr>
        <w:t>kan være</w:t>
      </w:r>
      <w:r w:rsidR="003437FA">
        <w:rPr>
          <w:rFonts w:cstheme="minorHAnsi"/>
        </w:rPr>
        <w:t xml:space="preserve"> </w:t>
      </w:r>
      <w:r w:rsidR="00A2655A" w:rsidRPr="00D6796D">
        <w:rPr>
          <w:rFonts w:cstheme="minorHAnsi"/>
        </w:rPr>
        <w:t>et godt tiltak for å tilføre etaten nødvendig kompetanse. Politihøgskolen har allerede i dag utdanninger for begrenset politimyndighet for bl.a. arrestforvarere, transportledsagere og grensekontrollører, som kan bygges ut for dette behovet</w:t>
      </w:r>
      <w:r w:rsidR="00A2655A">
        <w:rPr>
          <w:rFonts w:cstheme="minorHAnsi"/>
        </w:rPr>
        <w:t>.</w:t>
      </w:r>
    </w:p>
    <w:p w14:paraId="730C42BC" w14:textId="67B65C22" w:rsidR="003437FA" w:rsidRDefault="003437FA" w:rsidP="00A2655A"/>
    <w:p w14:paraId="59F97365" w14:textId="4EEF0752" w:rsidR="00C96200" w:rsidRDefault="00D16484" w:rsidP="00A2655A">
      <w:r>
        <w:t>Samtidig vil vi påpeke at dette bare er et av fler</w:t>
      </w:r>
      <w:r w:rsidR="00EE3B13">
        <w:t>e</w:t>
      </w:r>
      <w:r>
        <w:t xml:space="preserve"> tiltak for </w:t>
      </w:r>
      <w:r w:rsidR="002C7152">
        <w:t xml:space="preserve">å </w:t>
      </w:r>
      <w:r>
        <w:t xml:space="preserve">tilføre </w:t>
      </w:r>
      <w:r w:rsidR="00A951A9">
        <w:t>etaten nødvendig kompetanse</w:t>
      </w:r>
      <w:r w:rsidR="007137B1">
        <w:t xml:space="preserve">. </w:t>
      </w:r>
      <w:r w:rsidR="00BC0E92">
        <w:t xml:space="preserve">Bevisst </w:t>
      </w:r>
      <w:r w:rsidR="00AA2FC8">
        <w:t xml:space="preserve">og målrettet </w:t>
      </w:r>
      <w:r w:rsidR="00BC0E92">
        <w:t xml:space="preserve">rekruttering av </w:t>
      </w:r>
      <w:r w:rsidR="00775BE5">
        <w:t>studenter med ulik bakgrunn og kompetanse til grunnutdanningen og vid</w:t>
      </w:r>
      <w:r w:rsidR="007137B1">
        <w:t xml:space="preserve">ereutdanning av </w:t>
      </w:r>
      <w:r w:rsidR="005125D2">
        <w:t xml:space="preserve">de som allerede er ansatt i politiet er </w:t>
      </w:r>
      <w:r w:rsidR="00AA2FC8">
        <w:t xml:space="preserve">også viktige tiltak som bør utvikles videre. </w:t>
      </w:r>
      <w:r w:rsidR="00E37675">
        <w:t xml:space="preserve">Samtidig må det fortsatt være mulig å rekruttere inn annen nødvendig kompetanse uten </w:t>
      </w:r>
      <w:r w:rsidR="00E41795">
        <w:t>utdannelse på P</w:t>
      </w:r>
      <w:r w:rsidR="00BF406A">
        <w:t>olitihøgskole</w:t>
      </w:r>
      <w:r w:rsidR="00E41795">
        <w:t xml:space="preserve">n, </w:t>
      </w:r>
      <w:r w:rsidR="00833815">
        <w:t xml:space="preserve">som </w:t>
      </w:r>
      <w:r w:rsidR="00E41795">
        <w:t xml:space="preserve">kan </w:t>
      </w:r>
      <w:r w:rsidR="00833815">
        <w:t xml:space="preserve">jobbe side ved side med politiutdannede. </w:t>
      </w:r>
      <w:r w:rsidR="002B02FA">
        <w:t>Gode komplementære fagmil</w:t>
      </w:r>
      <w:r w:rsidR="001422DE">
        <w:t>j</w:t>
      </w:r>
      <w:r w:rsidR="002B02FA">
        <w:t xml:space="preserve">ø og læring gjennom praksis er fortsatt </w:t>
      </w:r>
      <w:r w:rsidR="00EE3B13">
        <w:t>de viktigste grepene for å utvikle god kompetanse.</w:t>
      </w:r>
    </w:p>
    <w:p w14:paraId="343E0121" w14:textId="77777777" w:rsidR="00C96200" w:rsidRDefault="00C96200" w:rsidP="00A2655A"/>
    <w:p w14:paraId="1153D5B6" w14:textId="722EE7F7" w:rsidR="004F6C5F" w:rsidRPr="004F6C5F" w:rsidRDefault="004F6C5F" w:rsidP="000154A7">
      <w:pPr>
        <w:rPr>
          <w:rFonts w:cstheme="minorHAnsi"/>
          <w:b/>
        </w:rPr>
      </w:pPr>
      <w:r w:rsidRPr="004F6C5F">
        <w:rPr>
          <w:rFonts w:cstheme="minorHAnsi"/>
          <w:b/>
        </w:rPr>
        <w:t>Ledelse</w:t>
      </w:r>
    </w:p>
    <w:p w14:paraId="310AD4E9" w14:textId="58AC5239" w:rsidR="000154A7" w:rsidRPr="00D6796D" w:rsidRDefault="0061056F" w:rsidP="000154A7">
      <w:pPr>
        <w:rPr>
          <w:rFonts w:cstheme="minorHAnsi"/>
        </w:rPr>
      </w:pPr>
      <w:r>
        <w:rPr>
          <w:rFonts w:cstheme="minorHAnsi"/>
        </w:rPr>
        <w:t>Parat</w:t>
      </w:r>
      <w:r w:rsidR="000154A7">
        <w:rPr>
          <w:rFonts w:cstheme="minorHAnsi"/>
        </w:rPr>
        <w:t xml:space="preserve"> er </w:t>
      </w:r>
      <w:r w:rsidR="000154A7" w:rsidRPr="00D6796D">
        <w:rPr>
          <w:rFonts w:cstheme="minorHAnsi"/>
        </w:rPr>
        <w:t>positiv</w:t>
      </w:r>
      <w:r w:rsidR="000154A7">
        <w:rPr>
          <w:rFonts w:cstheme="minorHAnsi"/>
        </w:rPr>
        <w:t>e</w:t>
      </w:r>
      <w:r w:rsidR="000154A7" w:rsidRPr="00D6796D">
        <w:rPr>
          <w:rFonts w:cstheme="minorHAnsi"/>
        </w:rPr>
        <w:t xml:space="preserve"> til utvalgets forslag om å øke kompetanse innen strategisk organisasjonsutvikling, virksomhetsstyring og ledelse, spesielt med fokus på personlige lederferdigheter uavhengig av utdanningsbakgrunn. Det er behov for et kompetanseløft også for </w:t>
      </w:r>
      <w:r w:rsidR="000154A7">
        <w:rPr>
          <w:rFonts w:cstheme="minorHAnsi"/>
        </w:rPr>
        <w:t>politi</w:t>
      </w:r>
      <w:r w:rsidR="000154A7" w:rsidRPr="00D6796D">
        <w:rPr>
          <w:rFonts w:cstheme="minorHAnsi"/>
        </w:rPr>
        <w:t>ledere. For å kunne rekruttere og utvikle ny kompetanse i politiet er det nødvendig med mer sammensatt og mangfoldig kompetanse blant lederne. Noe kan løses gjennom videreutdanning, men vi må også åpne opp for å ansette ledere med annen bakgrunn en politihøgskole og juridikum. Fremtidens kompetansebehov må gjenspeiles de nye ledergruppene i politiet</w:t>
      </w:r>
      <w:r w:rsidR="00963DC3">
        <w:rPr>
          <w:rFonts w:cstheme="minorHAnsi"/>
        </w:rPr>
        <w:t>.</w:t>
      </w:r>
    </w:p>
    <w:p w14:paraId="24A942C7" w14:textId="77777777" w:rsidR="0061056F" w:rsidRDefault="0061056F" w:rsidP="00A2655A">
      <w:pPr>
        <w:rPr>
          <w:rFonts w:cstheme="minorHAnsi"/>
        </w:rPr>
      </w:pPr>
    </w:p>
    <w:p w14:paraId="590F261C" w14:textId="5E33AF19" w:rsidR="005218A8" w:rsidRDefault="00E63C7E" w:rsidP="00A2655A">
      <w:pPr>
        <w:rPr>
          <w:rFonts w:cstheme="minorHAnsi"/>
        </w:rPr>
      </w:pPr>
      <w:r>
        <w:rPr>
          <w:rFonts w:cstheme="minorHAnsi"/>
        </w:rPr>
        <w:t xml:space="preserve">Avslutningsvis vil </w:t>
      </w:r>
      <w:r w:rsidR="004E3020">
        <w:rPr>
          <w:rFonts w:cstheme="minorHAnsi"/>
        </w:rPr>
        <w:t>Parat</w:t>
      </w:r>
      <w:r>
        <w:rPr>
          <w:rFonts w:cstheme="minorHAnsi"/>
        </w:rPr>
        <w:t xml:space="preserve"> påpeke at</w:t>
      </w:r>
      <w:r w:rsidRPr="00D6796D">
        <w:rPr>
          <w:rFonts w:cstheme="minorHAnsi"/>
        </w:rPr>
        <w:t xml:space="preserve"> rapporten er et skritt i rett retning. </w:t>
      </w:r>
      <w:r w:rsidR="00CC1546">
        <w:rPr>
          <w:rFonts w:cstheme="minorHAnsi"/>
        </w:rPr>
        <w:t>A</w:t>
      </w:r>
      <w:r w:rsidRPr="00D6796D">
        <w:rPr>
          <w:rFonts w:cstheme="minorHAnsi"/>
        </w:rPr>
        <w:t xml:space="preserve">rbeidet med å løse politiets kapasitets- og kompetansebehov de nærmeste 10 årene er svært viktig. </w:t>
      </w:r>
      <w:r w:rsidR="00B70E99">
        <w:rPr>
          <w:rFonts w:cstheme="minorHAnsi"/>
        </w:rPr>
        <w:t>D</w:t>
      </w:r>
      <w:r w:rsidRPr="00D6796D">
        <w:rPr>
          <w:rFonts w:cstheme="minorHAnsi"/>
        </w:rPr>
        <w:t>et</w:t>
      </w:r>
      <w:r w:rsidR="00B70E99">
        <w:rPr>
          <w:rFonts w:cstheme="minorHAnsi"/>
        </w:rPr>
        <w:t xml:space="preserve"> er imidlertid </w:t>
      </w:r>
      <w:r w:rsidRPr="00D6796D">
        <w:rPr>
          <w:rFonts w:cstheme="minorHAnsi"/>
        </w:rPr>
        <w:t>behov for bedre analyser, kartlegginger grundigere utredninger før de ulike forslagene</w:t>
      </w:r>
      <w:r w:rsidR="004172DB">
        <w:rPr>
          <w:rFonts w:cstheme="minorHAnsi"/>
        </w:rPr>
        <w:t xml:space="preserve"> iverksettes</w:t>
      </w:r>
      <w:r w:rsidRPr="00D6796D">
        <w:rPr>
          <w:rFonts w:cstheme="minorHAnsi"/>
        </w:rPr>
        <w:t xml:space="preserve">. </w:t>
      </w:r>
    </w:p>
    <w:p w14:paraId="1A379DDC" w14:textId="65DB2913" w:rsidR="00963DC3" w:rsidRDefault="00BE36D7" w:rsidP="00A2655A">
      <w:pPr>
        <w:rPr>
          <w:rFonts w:cstheme="minorHAnsi"/>
        </w:rPr>
      </w:pPr>
      <w:r>
        <w:rPr>
          <w:rFonts w:cstheme="minorHAnsi"/>
        </w:rPr>
        <w:t>Vi</w:t>
      </w:r>
      <w:r w:rsidR="005218A8">
        <w:rPr>
          <w:rFonts w:cstheme="minorHAnsi"/>
        </w:rPr>
        <w:t xml:space="preserve"> </w:t>
      </w:r>
      <w:r w:rsidR="00FF0736">
        <w:rPr>
          <w:rFonts w:cstheme="minorHAnsi"/>
        </w:rPr>
        <w:t xml:space="preserve">anbefaler </w:t>
      </w:r>
      <w:r w:rsidR="00594AD9">
        <w:rPr>
          <w:rFonts w:cstheme="minorHAnsi"/>
        </w:rPr>
        <w:t xml:space="preserve">derfor </w:t>
      </w:r>
      <w:r w:rsidR="005218A8">
        <w:rPr>
          <w:rFonts w:cstheme="minorHAnsi"/>
        </w:rPr>
        <w:t>at</w:t>
      </w:r>
      <w:r w:rsidR="007B45B6">
        <w:rPr>
          <w:rFonts w:cstheme="minorHAnsi"/>
        </w:rPr>
        <w:t xml:space="preserve"> denne</w:t>
      </w:r>
      <w:r w:rsidR="005218A8">
        <w:rPr>
          <w:rFonts w:cstheme="minorHAnsi"/>
        </w:rPr>
        <w:t xml:space="preserve"> rapporten danner grunnl</w:t>
      </w:r>
      <w:r w:rsidR="00915FCE">
        <w:rPr>
          <w:rFonts w:cstheme="minorHAnsi"/>
        </w:rPr>
        <w:t>a</w:t>
      </w:r>
      <w:r w:rsidR="005218A8">
        <w:rPr>
          <w:rFonts w:cstheme="minorHAnsi"/>
        </w:rPr>
        <w:t xml:space="preserve">get </w:t>
      </w:r>
      <w:r w:rsidR="00212543">
        <w:rPr>
          <w:rFonts w:cstheme="minorHAnsi"/>
        </w:rPr>
        <w:t xml:space="preserve">et bredt anlagt arbeid </w:t>
      </w:r>
      <w:r w:rsidR="00F5067F">
        <w:rPr>
          <w:rFonts w:cstheme="minorHAnsi"/>
        </w:rPr>
        <w:t xml:space="preserve">hvor </w:t>
      </w:r>
      <w:r w:rsidR="00855C29">
        <w:rPr>
          <w:rFonts w:cstheme="minorHAnsi"/>
        </w:rPr>
        <w:t>ulike fagmiljøer</w:t>
      </w:r>
      <w:r w:rsidR="00F5067F">
        <w:rPr>
          <w:rFonts w:cstheme="minorHAnsi"/>
        </w:rPr>
        <w:t xml:space="preserve"> </w:t>
      </w:r>
      <w:r w:rsidR="00855C29">
        <w:rPr>
          <w:rFonts w:cstheme="minorHAnsi"/>
        </w:rPr>
        <w:t xml:space="preserve">og </w:t>
      </w:r>
      <w:r w:rsidR="00F5067F">
        <w:rPr>
          <w:rFonts w:cstheme="minorHAnsi"/>
        </w:rPr>
        <w:t>partene</w:t>
      </w:r>
      <w:r w:rsidR="00855C29">
        <w:rPr>
          <w:rFonts w:cstheme="minorHAnsi"/>
        </w:rPr>
        <w:t xml:space="preserve"> i politiet</w:t>
      </w:r>
      <w:r w:rsidR="00F5067F">
        <w:rPr>
          <w:rFonts w:cstheme="minorHAnsi"/>
        </w:rPr>
        <w:t xml:space="preserve"> inviteres med for å</w:t>
      </w:r>
      <w:r w:rsidR="00F85ECC">
        <w:rPr>
          <w:rFonts w:cstheme="minorHAnsi"/>
        </w:rPr>
        <w:t xml:space="preserve"> gi et bredere grunnlag for politiets</w:t>
      </w:r>
      <w:r w:rsidR="00915FCE">
        <w:rPr>
          <w:rFonts w:cstheme="minorHAnsi"/>
        </w:rPr>
        <w:t xml:space="preserve"> </w:t>
      </w:r>
      <w:r w:rsidR="00932230">
        <w:rPr>
          <w:rFonts w:cstheme="minorHAnsi"/>
        </w:rPr>
        <w:t>kapasitets</w:t>
      </w:r>
      <w:r w:rsidR="00F85ECC">
        <w:rPr>
          <w:rFonts w:cstheme="minorHAnsi"/>
        </w:rPr>
        <w:t>-</w:t>
      </w:r>
      <w:r w:rsidR="00932230">
        <w:rPr>
          <w:rFonts w:cstheme="minorHAnsi"/>
        </w:rPr>
        <w:t xml:space="preserve"> og kompet</w:t>
      </w:r>
      <w:r w:rsidR="00944A11">
        <w:rPr>
          <w:rFonts w:cstheme="minorHAnsi"/>
        </w:rPr>
        <w:t>a</w:t>
      </w:r>
      <w:r w:rsidR="00932230">
        <w:rPr>
          <w:rFonts w:cstheme="minorHAnsi"/>
        </w:rPr>
        <w:t>ns</w:t>
      </w:r>
      <w:r w:rsidR="00F85ECC">
        <w:rPr>
          <w:rFonts w:cstheme="minorHAnsi"/>
        </w:rPr>
        <w:t>ebehov</w:t>
      </w:r>
      <w:r w:rsidR="000617A8">
        <w:rPr>
          <w:rFonts w:cstheme="minorHAnsi"/>
        </w:rPr>
        <w:t xml:space="preserve"> i fremtiden</w:t>
      </w:r>
    </w:p>
    <w:p w14:paraId="613D6AF9" w14:textId="77777777" w:rsidR="00B7614F" w:rsidRPr="00B7614F" w:rsidRDefault="00B7614F" w:rsidP="001B08D5"/>
    <w:p w14:paraId="0C3DCCD2" w14:textId="0C31350B" w:rsidR="00B7614F" w:rsidRDefault="00594AD9" w:rsidP="001B08D5">
      <w:r>
        <w:t>Med hilsen</w:t>
      </w:r>
    </w:p>
    <w:p w14:paraId="0BB654B4" w14:textId="6CDC3FED" w:rsidR="00594AD9" w:rsidRDefault="00594AD9" w:rsidP="001B08D5"/>
    <w:p w14:paraId="7C43AF26" w14:textId="14D86E1C" w:rsidR="00594AD9" w:rsidRDefault="00594AD9" w:rsidP="001B08D5">
      <w:pPr>
        <w:rPr>
          <w:i/>
        </w:rPr>
      </w:pPr>
      <w:r>
        <w:t>Geir Krogh</w:t>
      </w:r>
      <w:r w:rsidR="00811C67">
        <w:t xml:space="preserve"> -</w:t>
      </w:r>
      <w:r w:rsidR="0061056F">
        <w:t xml:space="preserve"> </w:t>
      </w:r>
      <w:r w:rsidR="007354AB" w:rsidRPr="00594AD9">
        <w:rPr>
          <w:i/>
        </w:rPr>
        <w:t>F</w:t>
      </w:r>
      <w:r w:rsidRPr="00594AD9">
        <w:rPr>
          <w:i/>
        </w:rPr>
        <w:t>orbundsleder</w:t>
      </w:r>
      <w:r w:rsidR="007354AB">
        <w:rPr>
          <w:i/>
        </w:rPr>
        <w:t xml:space="preserve"> Norges Politileder</w:t>
      </w:r>
      <w:r w:rsidR="00811C67">
        <w:rPr>
          <w:i/>
        </w:rPr>
        <w:t>l</w:t>
      </w:r>
      <w:r w:rsidR="007354AB">
        <w:rPr>
          <w:i/>
        </w:rPr>
        <w:t>ag</w:t>
      </w:r>
    </w:p>
    <w:p w14:paraId="6F644426" w14:textId="2C8AB40C" w:rsidR="007354AB" w:rsidRPr="007354AB" w:rsidRDefault="007354AB" w:rsidP="001B08D5">
      <w:pPr>
        <w:rPr>
          <w:i/>
        </w:rPr>
      </w:pPr>
      <w:r>
        <w:t>Unn Kristin Olsen</w:t>
      </w:r>
      <w:r w:rsidR="00E767E2">
        <w:t xml:space="preserve"> </w:t>
      </w:r>
      <w:r w:rsidR="00811C67">
        <w:t xml:space="preserve">- </w:t>
      </w:r>
      <w:r w:rsidRPr="00673B19">
        <w:rPr>
          <w:i/>
        </w:rPr>
        <w:t>Leder Parat politiet</w:t>
      </w:r>
    </w:p>
    <w:sectPr w:rsidR="007354AB" w:rsidRPr="007354AB" w:rsidSect="00B14D70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28126" w14:textId="77777777" w:rsidR="00503F10" w:rsidRDefault="00503F10">
      <w:r>
        <w:separator/>
      </w:r>
    </w:p>
  </w:endnote>
  <w:endnote w:type="continuationSeparator" w:id="0">
    <w:p w14:paraId="515103C7" w14:textId="77777777" w:rsidR="00503F10" w:rsidRDefault="0050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pCentury Old Styl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5365F" w14:textId="77777777" w:rsidR="00360536" w:rsidRDefault="00360536">
    <w:pPr>
      <w:pStyle w:val="Topptekst"/>
    </w:pPr>
  </w:p>
  <w:p w14:paraId="27F3AE22" w14:textId="77777777" w:rsidR="00360536" w:rsidRDefault="00360536">
    <w:pPr>
      <w:pStyle w:val="Bunntekst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t xml:space="preserve">Side </w:t>
    </w:r>
    <w:r w:rsidR="003F1169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3F1169">
      <w:rPr>
        <w:rStyle w:val="Sidetall"/>
      </w:rPr>
      <w:fldChar w:fldCharType="separate"/>
    </w:r>
    <w:r>
      <w:rPr>
        <w:rStyle w:val="Sidetall"/>
        <w:noProof/>
      </w:rPr>
      <w:t>2</w:t>
    </w:r>
    <w:r w:rsidR="003F1169">
      <w:rPr>
        <w:rStyle w:val="Sidetall"/>
      </w:rPr>
      <w:fldChar w:fldCharType="end"/>
    </w:r>
    <w:r>
      <w:rPr>
        <w:rStyle w:val="Sidetall"/>
      </w:rPr>
      <w:t xml:space="preserve"> av </w:t>
    </w:r>
    <w:r w:rsidR="003F1169"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 w:rsidR="003F1169">
      <w:rPr>
        <w:rStyle w:val="Sidetall"/>
      </w:rPr>
      <w:fldChar w:fldCharType="separate"/>
    </w:r>
    <w:r w:rsidR="00140C4D">
      <w:rPr>
        <w:rStyle w:val="Sidetall"/>
        <w:noProof/>
      </w:rPr>
      <w:t>1</w:t>
    </w:r>
    <w:r w:rsidR="003F1169"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07838" w14:textId="77777777" w:rsidR="00360536" w:rsidRDefault="00360536">
    <w:pPr>
      <w:pBdr>
        <w:top w:val="single" w:sz="4" w:space="1" w:color="auto"/>
      </w:pBdr>
      <w:rPr>
        <w:sz w:val="22"/>
        <w:szCs w:val="22"/>
        <w:lang w:eastAsia="nb-NO"/>
      </w:rPr>
    </w:pPr>
    <w:r>
      <w:rPr>
        <w:sz w:val="22"/>
        <w:szCs w:val="22"/>
        <w:lang w:eastAsia="nb-NO"/>
      </w:rPr>
      <w:t>Adresse:</w:t>
    </w:r>
    <w:r>
      <w:rPr>
        <w:sz w:val="22"/>
        <w:szCs w:val="22"/>
        <w:lang w:eastAsia="nb-NO"/>
      </w:rPr>
      <w:tab/>
    </w:r>
    <w:r w:rsidR="007A1848">
      <w:rPr>
        <w:sz w:val="22"/>
        <w:szCs w:val="22"/>
        <w:lang w:eastAsia="nb-NO"/>
      </w:rPr>
      <w:t>Lakkegata 23</w:t>
    </w:r>
    <w:r>
      <w:rPr>
        <w:sz w:val="22"/>
        <w:szCs w:val="22"/>
        <w:lang w:eastAsia="nb-NO"/>
      </w:rPr>
      <w:t xml:space="preserve">, Oslo </w:t>
    </w:r>
    <w:r>
      <w:rPr>
        <w:sz w:val="22"/>
        <w:szCs w:val="22"/>
        <w:lang w:eastAsia="nb-NO"/>
      </w:rPr>
      <w:tab/>
    </w:r>
    <w:r>
      <w:rPr>
        <w:sz w:val="22"/>
        <w:szCs w:val="22"/>
        <w:lang w:eastAsia="nb-NO"/>
      </w:rPr>
      <w:tab/>
    </w:r>
    <w:r w:rsidR="00B7614F">
      <w:rPr>
        <w:sz w:val="22"/>
        <w:szCs w:val="22"/>
        <w:lang w:eastAsia="nb-NO"/>
      </w:rPr>
      <w:t>Sentralbord YS</w:t>
    </w:r>
    <w:r>
      <w:rPr>
        <w:sz w:val="22"/>
        <w:szCs w:val="22"/>
        <w:lang w:eastAsia="nb-NO"/>
      </w:rPr>
      <w:t>:</w:t>
    </w:r>
    <w:r>
      <w:rPr>
        <w:sz w:val="22"/>
        <w:szCs w:val="22"/>
        <w:lang w:eastAsia="nb-NO"/>
      </w:rPr>
      <w:tab/>
      <w:t>2</w:t>
    </w:r>
    <w:r w:rsidR="00140C4D">
      <w:rPr>
        <w:sz w:val="22"/>
        <w:szCs w:val="22"/>
        <w:lang w:eastAsia="nb-NO"/>
      </w:rPr>
      <w:t>1</w:t>
    </w:r>
    <w:r>
      <w:rPr>
        <w:sz w:val="22"/>
        <w:szCs w:val="22"/>
        <w:lang w:eastAsia="nb-NO"/>
      </w:rPr>
      <w:t xml:space="preserve"> </w:t>
    </w:r>
    <w:r w:rsidR="00B7614F">
      <w:rPr>
        <w:sz w:val="22"/>
        <w:szCs w:val="22"/>
        <w:lang w:eastAsia="nb-NO"/>
      </w:rPr>
      <w:t>01</w:t>
    </w:r>
    <w:r>
      <w:rPr>
        <w:sz w:val="22"/>
        <w:szCs w:val="22"/>
        <w:lang w:eastAsia="nb-NO"/>
      </w:rPr>
      <w:t xml:space="preserve"> </w:t>
    </w:r>
    <w:r w:rsidR="00B7614F">
      <w:rPr>
        <w:sz w:val="22"/>
        <w:szCs w:val="22"/>
        <w:lang w:eastAsia="nb-NO"/>
      </w:rPr>
      <w:t>36</w:t>
    </w:r>
    <w:r>
      <w:rPr>
        <w:sz w:val="22"/>
        <w:szCs w:val="22"/>
        <w:lang w:eastAsia="nb-NO"/>
      </w:rPr>
      <w:t xml:space="preserve"> </w:t>
    </w:r>
    <w:r w:rsidR="00B7614F">
      <w:rPr>
        <w:sz w:val="22"/>
        <w:szCs w:val="22"/>
        <w:lang w:eastAsia="nb-NO"/>
      </w:rPr>
      <w:t>0</w:t>
    </w:r>
    <w:r>
      <w:rPr>
        <w:sz w:val="22"/>
        <w:szCs w:val="22"/>
        <w:lang w:eastAsia="nb-NO"/>
      </w:rPr>
      <w:t>0</w:t>
    </w:r>
    <w:r>
      <w:rPr>
        <w:sz w:val="22"/>
        <w:szCs w:val="22"/>
        <w:lang w:eastAsia="nb-NO"/>
      </w:rPr>
      <w:tab/>
    </w:r>
  </w:p>
  <w:p w14:paraId="1680AE2D" w14:textId="77777777" w:rsidR="00360536" w:rsidRDefault="00360536">
    <w:pPr>
      <w:rPr>
        <w:sz w:val="22"/>
        <w:szCs w:val="22"/>
        <w:lang w:eastAsia="nb-NO"/>
      </w:rPr>
    </w:pPr>
    <w:r>
      <w:rPr>
        <w:sz w:val="22"/>
        <w:szCs w:val="22"/>
        <w:lang w:eastAsia="nb-NO"/>
      </w:rPr>
      <w:t>Post:</w:t>
    </w:r>
    <w:r>
      <w:rPr>
        <w:sz w:val="22"/>
        <w:szCs w:val="22"/>
        <w:lang w:eastAsia="nb-NO"/>
      </w:rPr>
      <w:tab/>
    </w:r>
    <w:r>
      <w:rPr>
        <w:sz w:val="22"/>
        <w:szCs w:val="22"/>
        <w:lang w:eastAsia="nb-NO"/>
      </w:rPr>
      <w:tab/>
      <w:t>Pb. 90</w:t>
    </w:r>
    <w:r w:rsidR="00203628">
      <w:rPr>
        <w:sz w:val="22"/>
        <w:szCs w:val="22"/>
        <w:lang w:eastAsia="nb-NO"/>
      </w:rPr>
      <w:t>29</w:t>
    </w:r>
    <w:r>
      <w:rPr>
        <w:sz w:val="22"/>
        <w:szCs w:val="22"/>
        <w:lang w:eastAsia="nb-NO"/>
      </w:rPr>
      <w:t>, Grønland</w:t>
    </w:r>
    <w:r>
      <w:rPr>
        <w:sz w:val="22"/>
        <w:szCs w:val="22"/>
        <w:lang w:eastAsia="nb-NO"/>
      </w:rPr>
      <w:tab/>
    </w:r>
    <w:r>
      <w:rPr>
        <w:sz w:val="22"/>
        <w:szCs w:val="22"/>
        <w:lang w:eastAsia="nb-NO"/>
      </w:rPr>
      <w:tab/>
      <w:t xml:space="preserve">Epost: </w:t>
    </w:r>
    <w:r>
      <w:rPr>
        <w:sz w:val="22"/>
        <w:szCs w:val="22"/>
        <w:lang w:eastAsia="nb-NO"/>
      </w:rPr>
      <w:tab/>
    </w:r>
    <w:r>
      <w:rPr>
        <w:sz w:val="22"/>
        <w:szCs w:val="22"/>
        <w:lang w:eastAsia="nb-NO"/>
      </w:rPr>
      <w:tab/>
    </w:r>
    <w:hyperlink r:id="rId1" w:history="1">
      <w:r>
        <w:rPr>
          <w:rStyle w:val="Hyperkobling"/>
          <w:sz w:val="22"/>
          <w:szCs w:val="22"/>
          <w:lang w:eastAsia="nb-NO"/>
        </w:rPr>
        <w:t>post@politilederen.no</w:t>
      </w:r>
    </w:hyperlink>
    <w:r>
      <w:rPr>
        <w:sz w:val="22"/>
        <w:szCs w:val="22"/>
        <w:lang w:eastAsia="nb-NO"/>
      </w:rPr>
      <w:t xml:space="preserve"> </w:t>
    </w:r>
  </w:p>
  <w:p w14:paraId="61A69FCE" w14:textId="77777777" w:rsidR="00360536" w:rsidRDefault="00360536">
    <w:pPr>
      <w:rPr>
        <w:sz w:val="22"/>
        <w:szCs w:val="22"/>
        <w:lang w:eastAsia="nb-NO"/>
      </w:rPr>
    </w:pPr>
    <w:r>
      <w:rPr>
        <w:sz w:val="22"/>
        <w:szCs w:val="22"/>
        <w:lang w:eastAsia="nb-NO"/>
      </w:rPr>
      <w:t xml:space="preserve"> </w:t>
    </w:r>
    <w:r>
      <w:rPr>
        <w:sz w:val="22"/>
        <w:szCs w:val="22"/>
        <w:lang w:eastAsia="nb-NO"/>
      </w:rPr>
      <w:tab/>
    </w:r>
    <w:r>
      <w:rPr>
        <w:sz w:val="22"/>
        <w:szCs w:val="22"/>
        <w:lang w:eastAsia="nb-NO"/>
      </w:rPr>
      <w:tab/>
      <w:t>0133 Oslo</w:t>
    </w:r>
    <w:r>
      <w:rPr>
        <w:sz w:val="22"/>
        <w:szCs w:val="22"/>
        <w:lang w:eastAsia="nb-NO"/>
      </w:rPr>
      <w:tab/>
    </w:r>
    <w:r>
      <w:rPr>
        <w:sz w:val="22"/>
        <w:szCs w:val="22"/>
        <w:lang w:eastAsia="nb-NO"/>
      </w:rPr>
      <w:tab/>
    </w:r>
    <w:r>
      <w:rPr>
        <w:sz w:val="22"/>
        <w:szCs w:val="22"/>
        <w:lang w:eastAsia="nb-NO"/>
      </w:rPr>
      <w:tab/>
      <w:t>Web:</w:t>
    </w:r>
    <w:r>
      <w:rPr>
        <w:sz w:val="22"/>
        <w:szCs w:val="22"/>
        <w:lang w:eastAsia="nb-NO"/>
      </w:rPr>
      <w:tab/>
    </w:r>
    <w:r>
      <w:rPr>
        <w:sz w:val="22"/>
        <w:szCs w:val="22"/>
        <w:lang w:eastAsia="nb-NO"/>
      </w:rPr>
      <w:tab/>
    </w:r>
    <w:hyperlink r:id="rId2" w:history="1">
      <w:r>
        <w:rPr>
          <w:rStyle w:val="Hyperkobling"/>
          <w:sz w:val="22"/>
          <w:szCs w:val="22"/>
          <w:lang w:eastAsia="nb-NO"/>
        </w:rPr>
        <w:t>www.politilederen.no</w:t>
      </w:r>
    </w:hyperlink>
    <w:r>
      <w:rPr>
        <w:sz w:val="22"/>
        <w:szCs w:val="22"/>
        <w:lang w:eastAsia="nb-NO"/>
      </w:rPr>
      <w:t xml:space="preserve"> </w:t>
    </w:r>
  </w:p>
  <w:p w14:paraId="4993D63E" w14:textId="77777777" w:rsidR="00360536" w:rsidRDefault="00360536">
    <w:pPr>
      <w:rPr>
        <w:sz w:val="20"/>
        <w:szCs w:val="20"/>
        <w:lang w:eastAsia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92CC3" w14:textId="77777777" w:rsidR="00503F10" w:rsidRDefault="00503F10">
      <w:r>
        <w:separator/>
      </w:r>
    </w:p>
  </w:footnote>
  <w:footnote w:type="continuationSeparator" w:id="0">
    <w:p w14:paraId="725BAF12" w14:textId="77777777" w:rsidR="00503F10" w:rsidRDefault="00503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5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37"/>
    </w:tblGrid>
    <w:tr w:rsidR="00360536" w14:paraId="4F461087" w14:textId="77777777">
      <w:trPr>
        <w:trHeight w:val="884"/>
      </w:trPr>
      <w:tc>
        <w:tcPr>
          <w:tcW w:w="10237" w:type="dxa"/>
        </w:tcPr>
        <w:p w14:paraId="30A5449D" w14:textId="36B8D51A" w:rsidR="00360536" w:rsidRDefault="007A7F97">
          <w:pPr>
            <w:pStyle w:val="Topptekst"/>
            <w:tabs>
              <w:tab w:val="clear" w:pos="4536"/>
              <w:tab w:val="clear" w:pos="9072"/>
            </w:tabs>
            <w:ind w:right="-1757"/>
            <w:jc w:val="both"/>
          </w:pPr>
          <w:bookmarkStart w:id="15" w:name="ToppTekst" w:colFirst="0" w:colLast="0"/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4D086ED" wp14:editId="26CCF048">
                <wp:simplePos x="0" y="0"/>
                <wp:positionH relativeFrom="column">
                  <wp:posOffset>3970655</wp:posOffset>
                </wp:positionH>
                <wp:positionV relativeFrom="paragraph">
                  <wp:posOffset>40005</wp:posOffset>
                </wp:positionV>
                <wp:extent cx="2247900" cy="762635"/>
                <wp:effectExtent l="0" t="0" r="0" b="0"/>
                <wp:wrapSquare wrapText="bothSides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71A3B">
            <w:rPr>
              <w:noProof/>
            </w:rPr>
            <w:drawing>
              <wp:inline distT="0" distB="0" distL="0" distR="0" wp14:anchorId="0990505C" wp14:editId="00678B54">
                <wp:extent cx="1914525" cy="813602"/>
                <wp:effectExtent l="0" t="0" r="0" b="571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155" cy="822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60536">
            <w:t xml:space="preserve">        </w:t>
          </w:r>
          <w:r w:rsidR="00F85CE0">
            <w:t xml:space="preserve">     </w:t>
          </w:r>
        </w:p>
      </w:tc>
    </w:tr>
    <w:bookmarkEnd w:id="15"/>
  </w:tbl>
  <w:p w14:paraId="4DF4EE8C" w14:textId="08AA3369" w:rsidR="00360536" w:rsidRDefault="00360536">
    <w:pPr>
      <w:pStyle w:val="Toppteks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B0D96"/>
    <w:multiLevelType w:val="hybridMultilevel"/>
    <w:tmpl w:val="95FC7B54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ivil" w:val="Nei"/>
  </w:docVars>
  <w:rsids>
    <w:rsidRoot w:val="001B08D5"/>
    <w:rsid w:val="00012841"/>
    <w:rsid w:val="000154A7"/>
    <w:rsid w:val="00020F1E"/>
    <w:rsid w:val="00022238"/>
    <w:rsid w:val="00031315"/>
    <w:rsid w:val="00037B0B"/>
    <w:rsid w:val="00041ACE"/>
    <w:rsid w:val="00055001"/>
    <w:rsid w:val="00057473"/>
    <w:rsid w:val="000617A8"/>
    <w:rsid w:val="0006409D"/>
    <w:rsid w:val="000728CE"/>
    <w:rsid w:val="0008228D"/>
    <w:rsid w:val="00087EBE"/>
    <w:rsid w:val="000C1C0D"/>
    <w:rsid w:val="000D7602"/>
    <w:rsid w:val="000E7229"/>
    <w:rsid w:val="00110709"/>
    <w:rsid w:val="001146EA"/>
    <w:rsid w:val="00124686"/>
    <w:rsid w:val="001335B2"/>
    <w:rsid w:val="00140C4D"/>
    <w:rsid w:val="001422DE"/>
    <w:rsid w:val="00160D8E"/>
    <w:rsid w:val="00183948"/>
    <w:rsid w:val="00192F5F"/>
    <w:rsid w:val="001B08D5"/>
    <w:rsid w:val="001C44FB"/>
    <w:rsid w:val="001E352E"/>
    <w:rsid w:val="001E740D"/>
    <w:rsid w:val="001F6AFA"/>
    <w:rsid w:val="00203628"/>
    <w:rsid w:val="00204A8C"/>
    <w:rsid w:val="0021081F"/>
    <w:rsid w:val="00212543"/>
    <w:rsid w:val="00217E1E"/>
    <w:rsid w:val="00223233"/>
    <w:rsid w:val="002353E9"/>
    <w:rsid w:val="00236676"/>
    <w:rsid w:val="00244CC3"/>
    <w:rsid w:val="00252AD7"/>
    <w:rsid w:val="002609DA"/>
    <w:rsid w:val="0027374B"/>
    <w:rsid w:val="00274235"/>
    <w:rsid w:val="00297FE1"/>
    <w:rsid w:val="002B02FA"/>
    <w:rsid w:val="002B42D1"/>
    <w:rsid w:val="002C7152"/>
    <w:rsid w:val="002D5597"/>
    <w:rsid w:val="002E074A"/>
    <w:rsid w:val="00323F8B"/>
    <w:rsid w:val="003303D7"/>
    <w:rsid w:val="003437FA"/>
    <w:rsid w:val="00360536"/>
    <w:rsid w:val="0036431B"/>
    <w:rsid w:val="0038705F"/>
    <w:rsid w:val="003878BF"/>
    <w:rsid w:val="003C1480"/>
    <w:rsid w:val="003C2D94"/>
    <w:rsid w:val="003C378B"/>
    <w:rsid w:val="003D5CC5"/>
    <w:rsid w:val="003E1EBD"/>
    <w:rsid w:val="003F1169"/>
    <w:rsid w:val="003F694B"/>
    <w:rsid w:val="004146EE"/>
    <w:rsid w:val="004172DB"/>
    <w:rsid w:val="004173CE"/>
    <w:rsid w:val="00436037"/>
    <w:rsid w:val="00443EF9"/>
    <w:rsid w:val="00444A67"/>
    <w:rsid w:val="004518EA"/>
    <w:rsid w:val="004525F3"/>
    <w:rsid w:val="00476E15"/>
    <w:rsid w:val="0048220F"/>
    <w:rsid w:val="004863B9"/>
    <w:rsid w:val="00486918"/>
    <w:rsid w:val="00486B4D"/>
    <w:rsid w:val="00487BC0"/>
    <w:rsid w:val="00487EA7"/>
    <w:rsid w:val="004A0E44"/>
    <w:rsid w:val="004A62EF"/>
    <w:rsid w:val="004B5D17"/>
    <w:rsid w:val="004B71B4"/>
    <w:rsid w:val="004C0BED"/>
    <w:rsid w:val="004D3560"/>
    <w:rsid w:val="004D3DF0"/>
    <w:rsid w:val="004E21F7"/>
    <w:rsid w:val="004E2726"/>
    <w:rsid w:val="004E3020"/>
    <w:rsid w:val="004F4A5F"/>
    <w:rsid w:val="004F6C5F"/>
    <w:rsid w:val="00503F10"/>
    <w:rsid w:val="0050773D"/>
    <w:rsid w:val="005125D2"/>
    <w:rsid w:val="00514096"/>
    <w:rsid w:val="005218A8"/>
    <w:rsid w:val="005430B8"/>
    <w:rsid w:val="0054516B"/>
    <w:rsid w:val="0055152F"/>
    <w:rsid w:val="00553E9F"/>
    <w:rsid w:val="005574E9"/>
    <w:rsid w:val="00571A3B"/>
    <w:rsid w:val="00583F3B"/>
    <w:rsid w:val="00585DD5"/>
    <w:rsid w:val="00587702"/>
    <w:rsid w:val="00594AD9"/>
    <w:rsid w:val="005A72F0"/>
    <w:rsid w:val="005B5F4D"/>
    <w:rsid w:val="005D1636"/>
    <w:rsid w:val="005D3FD2"/>
    <w:rsid w:val="005D435E"/>
    <w:rsid w:val="006073D1"/>
    <w:rsid w:val="00607DEB"/>
    <w:rsid w:val="0061056F"/>
    <w:rsid w:val="00610841"/>
    <w:rsid w:val="00611160"/>
    <w:rsid w:val="006130A3"/>
    <w:rsid w:val="006457A8"/>
    <w:rsid w:val="00673B19"/>
    <w:rsid w:val="00682D59"/>
    <w:rsid w:val="0068438C"/>
    <w:rsid w:val="00697927"/>
    <w:rsid w:val="006B0B9C"/>
    <w:rsid w:val="006C082B"/>
    <w:rsid w:val="006C7087"/>
    <w:rsid w:val="006C7E9D"/>
    <w:rsid w:val="006C7EB7"/>
    <w:rsid w:val="006D36D0"/>
    <w:rsid w:val="006E2EFD"/>
    <w:rsid w:val="006E362A"/>
    <w:rsid w:val="006F3924"/>
    <w:rsid w:val="0070270F"/>
    <w:rsid w:val="007070A1"/>
    <w:rsid w:val="00713470"/>
    <w:rsid w:val="007137B1"/>
    <w:rsid w:val="007354AB"/>
    <w:rsid w:val="0073736D"/>
    <w:rsid w:val="00745684"/>
    <w:rsid w:val="0074731B"/>
    <w:rsid w:val="007649AD"/>
    <w:rsid w:val="0076566C"/>
    <w:rsid w:val="00775BE5"/>
    <w:rsid w:val="007828B5"/>
    <w:rsid w:val="00782F25"/>
    <w:rsid w:val="00787E13"/>
    <w:rsid w:val="007A1848"/>
    <w:rsid w:val="007A7F97"/>
    <w:rsid w:val="007B45B6"/>
    <w:rsid w:val="007C2436"/>
    <w:rsid w:val="007D2E11"/>
    <w:rsid w:val="007D38AD"/>
    <w:rsid w:val="007F2168"/>
    <w:rsid w:val="00802CAB"/>
    <w:rsid w:val="00811C67"/>
    <w:rsid w:val="00830717"/>
    <w:rsid w:val="00833815"/>
    <w:rsid w:val="00840473"/>
    <w:rsid w:val="00855912"/>
    <w:rsid w:val="00855C29"/>
    <w:rsid w:val="00856BB5"/>
    <w:rsid w:val="008616C4"/>
    <w:rsid w:val="00872E77"/>
    <w:rsid w:val="0087607D"/>
    <w:rsid w:val="00882144"/>
    <w:rsid w:val="00883128"/>
    <w:rsid w:val="008851C1"/>
    <w:rsid w:val="008A48A8"/>
    <w:rsid w:val="008A651E"/>
    <w:rsid w:val="008A74CD"/>
    <w:rsid w:val="008B5BE1"/>
    <w:rsid w:val="008D5193"/>
    <w:rsid w:val="008E3485"/>
    <w:rsid w:val="008E635F"/>
    <w:rsid w:val="00915FCE"/>
    <w:rsid w:val="00916256"/>
    <w:rsid w:val="00930033"/>
    <w:rsid w:val="00932230"/>
    <w:rsid w:val="00944A11"/>
    <w:rsid w:val="0094679C"/>
    <w:rsid w:val="00947AAC"/>
    <w:rsid w:val="0096148E"/>
    <w:rsid w:val="00963DC3"/>
    <w:rsid w:val="009821A8"/>
    <w:rsid w:val="009922BB"/>
    <w:rsid w:val="009A4073"/>
    <w:rsid w:val="009D0D1E"/>
    <w:rsid w:val="009E5BAF"/>
    <w:rsid w:val="00A02BAF"/>
    <w:rsid w:val="00A101EC"/>
    <w:rsid w:val="00A236E3"/>
    <w:rsid w:val="00A238AC"/>
    <w:rsid w:val="00A23BF5"/>
    <w:rsid w:val="00A2655A"/>
    <w:rsid w:val="00A52AE5"/>
    <w:rsid w:val="00A57F21"/>
    <w:rsid w:val="00A64C71"/>
    <w:rsid w:val="00A74B39"/>
    <w:rsid w:val="00A90C4A"/>
    <w:rsid w:val="00A91236"/>
    <w:rsid w:val="00A93513"/>
    <w:rsid w:val="00A951A9"/>
    <w:rsid w:val="00AA10F4"/>
    <w:rsid w:val="00AA2FC8"/>
    <w:rsid w:val="00AB2599"/>
    <w:rsid w:val="00AC5618"/>
    <w:rsid w:val="00AE274B"/>
    <w:rsid w:val="00AE2EDD"/>
    <w:rsid w:val="00AE34A6"/>
    <w:rsid w:val="00AE37FE"/>
    <w:rsid w:val="00B14D70"/>
    <w:rsid w:val="00B20CF4"/>
    <w:rsid w:val="00B40483"/>
    <w:rsid w:val="00B43C9C"/>
    <w:rsid w:val="00B443B7"/>
    <w:rsid w:val="00B52760"/>
    <w:rsid w:val="00B55B9C"/>
    <w:rsid w:val="00B70E99"/>
    <w:rsid w:val="00B7614F"/>
    <w:rsid w:val="00B9030E"/>
    <w:rsid w:val="00BB3D3A"/>
    <w:rsid w:val="00BC0E92"/>
    <w:rsid w:val="00BE36D7"/>
    <w:rsid w:val="00BF406A"/>
    <w:rsid w:val="00C065C7"/>
    <w:rsid w:val="00C12C48"/>
    <w:rsid w:val="00C1720A"/>
    <w:rsid w:val="00C37A35"/>
    <w:rsid w:val="00C5016A"/>
    <w:rsid w:val="00C918F6"/>
    <w:rsid w:val="00C96200"/>
    <w:rsid w:val="00CA13EA"/>
    <w:rsid w:val="00CA719F"/>
    <w:rsid w:val="00CC1546"/>
    <w:rsid w:val="00CC681C"/>
    <w:rsid w:val="00CD4260"/>
    <w:rsid w:val="00CD6A69"/>
    <w:rsid w:val="00CF0E2B"/>
    <w:rsid w:val="00D0646D"/>
    <w:rsid w:val="00D16484"/>
    <w:rsid w:val="00D21DF2"/>
    <w:rsid w:val="00D27550"/>
    <w:rsid w:val="00D30887"/>
    <w:rsid w:val="00D32098"/>
    <w:rsid w:val="00D3389B"/>
    <w:rsid w:val="00D46E0C"/>
    <w:rsid w:val="00D5240C"/>
    <w:rsid w:val="00D56AEB"/>
    <w:rsid w:val="00D93A70"/>
    <w:rsid w:val="00DA1A3E"/>
    <w:rsid w:val="00DB59E0"/>
    <w:rsid w:val="00DD2938"/>
    <w:rsid w:val="00DD3C0C"/>
    <w:rsid w:val="00DF2A50"/>
    <w:rsid w:val="00DF45EA"/>
    <w:rsid w:val="00E37675"/>
    <w:rsid w:val="00E41795"/>
    <w:rsid w:val="00E450F5"/>
    <w:rsid w:val="00E452FE"/>
    <w:rsid w:val="00E5340D"/>
    <w:rsid w:val="00E55E43"/>
    <w:rsid w:val="00E63C7E"/>
    <w:rsid w:val="00E65357"/>
    <w:rsid w:val="00E66278"/>
    <w:rsid w:val="00E67169"/>
    <w:rsid w:val="00E75198"/>
    <w:rsid w:val="00E767E2"/>
    <w:rsid w:val="00E76E9A"/>
    <w:rsid w:val="00E812B9"/>
    <w:rsid w:val="00E86C5A"/>
    <w:rsid w:val="00EB079A"/>
    <w:rsid w:val="00ED38B4"/>
    <w:rsid w:val="00ED3C6F"/>
    <w:rsid w:val="00EE3B13"/>
    <w:rsid w:val="00EF7313"/>
    <w:rsid w:val="00F06AEF"/>
    <w:rsid w:val="00F25910"/>
    <w:rsid w:val="00F5067F"/>
    <w:rsid w:val="00F66B87"/>
    <w:rsid w:val="00F74E20"/>
    <w:rsid w:val="00F76390"/>
    <w:rsid w:val="00F85CE0"/>
    <w:rsid w:val="00F85ECC"/>
    <w:rsid w:val="00F90006"/>
    <w:rsid w:val="00F92044"/>
    <w:rsid w:val="00FB5D01"/>
    <w:rsid w:val="00FC324D"/>
    <w:rsid w:val="00FF0736"/>
    <w:rsid w:val="00F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FB4BC2"/>
  <w15:docId w15:val="{24C6A0CD-ED7E-4554-9078-5075482F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169"/>
    <w:rPr>
      <w:rFonts w:ascii="Garamond" w:hAnsi="Garamond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3F1169"/>
    <w:pPr>
      <w:keepNext/>
      <w:outlineLvl w:val="0"/>
    </w:pPr>
    <w:rPr>
      <w:i/>
      <w:iCs/>
      <w:sz w:val="20"/>
    </w:rPr>
  </w:style>
  <w:style w:type="paragraph" w:styleId="Overskrift2">
    <w:name w:val="heading 2"/>
    <w:basedOn w:val="Normal"/>
    <w:next w:val="Normal"/>
    <w:qFormat/>
    <w:rsid w:val="003F1169"/>
    <w:pPr>
      <w:keepNext/>
      <w:ind w:left="-540"/>
      <w:outlineLvl w:val="1"/>
    </w:pPr>
    <w:rPr>
      <w:rFonts w:ascii="Arial" w:hAnsi="Arial" w:cs="Arial"/>
      <w:sz w:val="2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F1169"/>
    <w:pPr>
      <w:tabs>
        <w:tab w:val="center" w:pos="4536"/>
        <w:tab w:val="right" w:pos="9072"/>
      </w:tabs>
    </w:pPr>
    <w:rPr>
      <w:szCs w:val="20"/>
      <w:lang w:eastAsia="nb-NO"/>
    </w:rPr>
  </w:style>
  <w:style w:type="paragraph" w:styleId="Bunntekst">
    <w:name w:val="footer"/>
    <w:basedOn w:val="Normal"/>
    <w:rsid w:val="003F1169"/>
    <w:pPr>
      <w:tabs>
        <w:tab w:val="center" w:pos="4536"/>
        <w:tab w:val="right" w:pos="9072"/>
      </w:tabs>
    </w:pPr>
    <w:rPr>
      <w:szCs w:val="20"/>
      <w:lang w:eastAsia="nb-NO"/>
    </w:rPr>
  </w:style>
  <w:style w:type="character" w:styleId="Sidetall">
    <w:name w:val="page number"/>
    <w:basedOn w:val="Standardskriftforavsnitt"/>
    <w:rsid w:val="003F1169"/>
  </w:style>
  <w:style w:type="paragraph" w:styleId="Bildetekst">
    <w:name w:val="caption"/>
    <w:basedOn w:val="Normal"/>
    <w:next w:val="Normal"/>
    <w:qFormat/>
    <w:rsid w:val="003F1169"/>
    <w:pPr>
      <w:jc w:val="center"/>
    </w:pPr>
    <w:rPr>
      <w:rFonts w:ascii="Arial Unicode MS" w:eastAsia="Arial Unicode MS" w:hAnsi="Arial Unicode MS" w:cs="Arial Unicode MS"/>
      <w:b/>
      <w:bCs/>
      <w:color w:val="4D4D4D"/>
      <w:sz w:val="16"/>
    </w:rPr>
  </w:style>
  <w:style w:type="character" w:styleId="Hyperkobling">
    <w:name w:val="Hyperlink"/>
    <w:basedOn w:val="Standardskriftforavsnitt"/>
    <w:rsid w:val="003F1169"/>
    <w:rPr>
      <w:color w:val="0000FF"/>
      <w:u w:val="single"/>
    </w:rPr>
  </w:style>
  <w:style w:type="paragraph" w:styleId="Bobletekst">
    <w:name w:val="Balloon Text"/>
    <w:basedOn w:val="Normal"/>
    <w:semiHidden/>
    <w:unhideWhenUsed/>
    <w:rsid w:val="003F1169"/>
    <w:rPr>
      <w:rFonts w:ascii="Tahoma" w:hAnsi="Tahoma" w:cs="Tahoma"/>
      <w:sz w:val="16"/>
      <w:szCs w:val="16"/>
    </w:rPr>
  </w:style>
  <w:style w:type="character" w:customStyle="1" w:styleId="TegnTegn">
    <w:name w:val="Tegn Tegn"/>
    <w:basedOn w:val="Standardskriftforavsnitt"/>
    <w:semiHidden/>
    <w:rsid w:val="003F116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1B08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semiHidden/>
    <w:unhideWhenUsed/>
    <w:rsid w:val="00B52760"/>
    <w:rPr>
      <w:rFonts w:ascii="Calibri" w:eastAsiaTheme="minorHAns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5276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itilederen.no" TargetMode="External"/><Relationship Id="rId1" Type="http://schemas.openxmlformats.org/officeDocument/2006/relationships/hyperlink" Target="mailto:post@politilederen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ysnett-my.sharepoint.com/personal/geir_krogh_parat_com/Documents/NPL/1%20-%20Administrasjon/1%20-%20Brevjournal/2018_brev_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2018_brev_mal</Template>
  <TotalTime>1</TotalTime>
  <Pages>3</Pages>
  <Words>1522</Words>
  <Characters>8069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Deres ref</vt:lpstr>
    </vt:vector>
  </TitlesOfParts>
  <Company>TOSHIBA</Company>
  <LinksUpToDate>false</LinksUpToDate>
  <CharactersWithSpaces>9572</CharactersWithSpaces>
  <SharedDoc>false</SharedDoc>
  <HLinks>
    <vt:vector size="12" baseType="variant">
      <vt:variant>
        <vt:i4>1441819</vt:i4>
      </vt:variant>
      <vt:variant>
        <vt:i4>9</vt:i4>
      </vt:variant>
      <vt:variant>
        <vt:i4>0</vt:i4>
      </vt:variant>
      <vt:variant>
        <vt:i4>5</vt:i4>
      </vt:variant>
      <vt:variant>
        <vt:lpwstr>http://www.politilederen.no/</vt:lpwstr>
      </vt:variant>
      <vt:variant>
        <vt:lpwstr/>
      </vt:variant>
      <vt:variant>
        <vt:i4>6946883</vt:i4>
      </vt:variant>
      <vt:variant>
        <vt:i4>6</vt:i4>
      </vt:variant>
      <vt:variant>
        <vt:i4>0</vt:i4>
      </vt:variant>
      <vt:variant>
        <vt:i4>5</vt:i4>
      </vt:variant>
      <vt:variant>
        <vt:lpwstr>mailto:post@politilederen.no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Geir Krogh</dc:creator>
  <cp:lastModifiedBy>Geir Krogh</cp:lastModifiedBy>
  <cp:revision>3</cp:revision>
  <cp:lastPrinted>2018-04-06T12:57:00Z</cp:lastPrinted>
  <dcterms:created xsi:type="dcterms:W3CDTF">2018-04-06T12:57:00Z</dcterms:created>
  <dcterms:modified xsi:type="dcterms:W3CDTF">2018-04-06T12:57:00Z</dcterms:modified>
</cp:coreProperties>
</file>